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0EA5B144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</w:t>
      </w:r>
      <w:r>
        <w:t xml:space="preserve">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9B22D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9B22D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9B22D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9B22D5">
        <w:rPr>
          <w:color w:val="000000" w:themeColor="text1"/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9B22D5">
        <w:rPr>
          <w:color w:val="000000" w:themeColor="text1"/>
          <w:sz w:val="28"/>
        </w:rPr>
        <w:t>фондодержателями</w:t>
      </w:r>
      <w:proofErr w:type="spellEnd"/>
      <w:r w:rsidR="00AA2802" w:rsidRPr="009B22D5">
        <w:rPr>
          <w:color w:val="000000" w:themeColor="text1"/>
          <w:sz w:val="28"/>
        </w:rPr>
        <w:t xml:space="preserve">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9B22D5">
        <w:rPr>
          <w:color w:val="000000" w:themeColor="text1"/>
          <w:sz w:val="28"/>
        </w:rPr>
        <w:t>полисомнографии</w:t>
      </w:r>
      <w:proofErr w:type="spellEnd"/>
      <w:r w:rsidRPr="009B22D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73A77898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значение элемента «DATE_IN» и «DATE_1»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</w:t>
      </w:r>
      <w:proofErr w:type="spellStart"/>
      <w:r w:rsidRPr="009B22D5">
        <w:rPr>
          <w:color w:val="000000" w:themeColor="text1"/>
          <w:sz w:val="28"/>
        </w:rPr>
        <w:t>фондодержатель</w:t>
      </w:r>
      <w:proofErr w:type="spellEnd"/>
      <w:r w:rsidRPr="009B22D5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lastRenderedPageBreak/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rFonts w:eastAsiaTheme="minorHAnsi"/>
          <w:sz w:val="28"/>
          <w:szCs w:val="28"/>
          <w:lang w:eastAsia="en-US"/>
        </w:rPr>
        <w:t xml:space="preserve">4.7. </w:t>
      </w:r>
      <w:r w:rsidRPr="009B22D5">
        <w:rPr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9B22D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9B22D5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NPR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MO</w:t>
      </w:r>
      <w:r w:rsidRPr="009B22D5">
        <w:rPr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«CODE_USL»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=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B01.099.001</w:t>
      </w:r>
      <w:r w:rsidRPr="009B22D5">
        <w:t xml:space="preserve"> </w:t>
      </w:r>
      <w:r w:rsidR="00FE5FA6" w:rsidRPr="009B22D5">
        <w:t>«</w:t>
      </w:r>
      <w:r w:rsidRPr="009B22D5">
        <w:rPr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9B22D5">
        <w:rPr>
          <w:color w:val="000000" w:themeColor="text1"/>
          <w:sz w:val="28"/>
          <w:szCs w:val="28"/>
        </w:rPr>
        <w:t>;</w:t>
      </w:r>
    </w:p>
    <w:p w14:paraId="02CA1ACB" w14:textId="6211093F" w:rsidR="00FE5FA6" w:rsidRPr="009B22D5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</w:t>
      </w:r>
      <w:r w:rsidR="00FE5FA6" w:rsidRPr="009B22D5">
        <w:rPr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9B22D5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</w:t>
      </w:r>
      <w:r w:rsidR="00FE5FA6" w:rsidRPr="009B22D5">
        <w:rPr>
          <w:color w:val="000000" w:themeColor="text1"/>
          <w:sz w:val="28"/>
          <w:szCs w:val="28"/>
        </w:rPr>
        <w:t xml:space="preserve"> «</w:t>
      </w:r>
      <w:r w:rsidR="00FE5FA6" w:rsidRPr="009B22D5">
        <w:rPr>
          <w:color w:val="000000" w:themeColor="text1"/>
          <w:sz w:val="28"/>
          <w:szCs w:val="28"/>
          <w:lang w:val="en-US"/>
        </w:rPr>
        <w:t>CODE</w:t>
      </w:r>
      <w:r w:rsidR="00FE5FA6" w:rsidRPr="009B22D5">
        <w:rPr>
          <w:color w:val="000000" w:themeColor="text1"/>
          <w:sz w:val="28"/>
          <w:szCs w:val="28"/>
        </w:rPr>
        <w:t>_</w:t>
      </w:r>
      <w:r w:rsidR="00FE5FA6" w:rsidRPr="009B22D5">
        <w:rPr>
          <w:color w:val="000000" w:themeColor="text1"/>
          <w:sz w:val="28"/>
          <w:szCs w:val="28"/>
          <w:lang w:val="en-US"/>
        </w:rPr>
        <w:t>USL</w:t>
      </w:r>
      <w:r w:rsidR="00FE5FA6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 xml:space="preserve"> = </w:t>
      </w:r>
      <w:r w:rsidR="00FE5FA6" w:rsidRPr="009B22D5">
        <w:rPr>
          <w:color w:val="000000" w:themeColor="text1"/>
          <w:sz w:val="28"/>
          <w:szCs w:val="28"/>
          <w:lang w:val="en-US"/>
        </w:rPr>
        <w:t>B</w:t>
      </w:r>
      <w:r w:rsidR="00FE5FA6" w:rsidRPr="009B22D5">
        <w:rPr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9B22D5">
        <w:rPr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0.</w:t>
      </w:r>
    </w:p>
    <w:p w14:paraId="274411C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2A3F55CA" w:rsidR="00106282" w:rsidRPr="009B22D5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9B22D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9B22D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</w:t>
            </w:r>
            <w:r w:rsidRPr="009B22D5">
              <w:lastRenderedPageBreak/>
              <w:t>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 xml:space="preserve">комплексные посещения для проведения диспансерного наблюдения детей, проживающих в </w:t>
            </w:r>
            <w:r w:rsidRPr="009B22D5">
              <w:lastRenderedPageBreak/>
              <w:t>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разовые посещения по заболеваниям по направлениям, выданным по </w:t>
            </w:r>
            <w:r w:rsidRPr="009B22D5">
              <w:rPr>
                <w:color w:val="000000" w:themeColor="text1"/>
              </w:rPr>
              <w:lastRenderedPageBreak/>
              <w:t>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lastRenderedPageBreak/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5C62D12F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</w:p>
    <w:p w14:paraId="54D6B0A4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D007F7">
        <w:rPr>
          <w:color w:val="000000" w:themeColor="text1"/>
          <w:sz w:val="28"/>
        </w:rPr>
        <w:t>«P_CEL» = 2.3 - Комплексное обследование;</w:t>
      </w:r>
    </w:p>
    <w:p w14:paraId="739455D5" w14:textId="77777777" w:rsidR="007F3D6A" w:rsidRPr="00ED13B4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B04.070.003.001 «</w:t>
      </w:r>
      <w:r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43DC42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665AD09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15AC230A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Pr="00E4328E">
        <w:rPr>
          <w:rFonts w:eastAsiaTheme="minorHAnsi"/>
          <w:sz w:val="28"/>
          <w:szCs w:val="28"/>
          <w:lang w:eastAsia="en-US"/>
        </w:rPr>
        <w:t>биоимпедансометрии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07C8F846" w14:textId="33D94292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18023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84B3631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A02.30.007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 xml:space="preserve">Проведение исследования при помощи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смокелайзера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286AE479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7CBB44D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 xml:space="preserve">Проведение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пульсоксиметрии</w:t>
      </w:r>
      <w:proofErr w:type="spellEnd"/>
      <w:r w:rsidRPr="00515BFC">
        <w:rPr>
          <w:rFonts w:eastAsiaTheme="minorHAnsi"/>
          <w:sz w:val="28"/>
          <w:szCs w:val="28"/>
          <w:lang w:eastAsia="en-US"/>
        </w:rPr>
        <w:t xml:space="preserve">/применение </w:t>
      </w:r>
      <w:proofErr w:type="spellStart"/>
      <w:r w:rsidRPr="00515BFC">
        <w:rPr>
          <w:rFonts w:eastAsiaTheme="minorHAnsi"/>
          <w:sz w:val="28"/>
          <w:szCs w:val="28"/>
          <w:lang w:eastAsia="en-US"/>
        </w:rPr>
        <w:t>ангиоскана</w:t>
      </w:r>
      <w:proofErr w:type="spellEnd"/>
      <w:r>
        <w:rPr>
          <w:rFonts w:eastAsiaTheme="minorHAnsi"/>
          <w:sz w:val="28"/>
          <w:szCs w:val="28"/>
          <w:lang w:eastAsia="en-US"/>
        </w:rPr>
        <w:t>»;</w:t>
      </w:r>
    </w:p>
    <w:p w14:paraId="4CD0A63E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B86822B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23CB02B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D3F47E7" w14:textId="77777777" w:rsidR="007F3D6A" w:rsidRPr="00542736" w:rsidRDefault="007F3D6A" w:rsidP="007F3D6A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1FB61A26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55FFE3E5" w14:textId="4B16B91A" w:rsidR="007F3D6A" w:rsidRP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>
        <w:rPr>
          <w:rFonts w:eastAsiaTheme="minorHAnsi"/>
          <w:sz w:val="28"/>
          <w:szCs w:val="28"/>
          <w:lang w:eastAsia="en-US"/>
        </w:rPr>
        <w:t>,</w:t>
      </w:r>
      <w:r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>значение элементов «DATE_IN» и 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2"/>
      </w:r>
    </w:p>
    <w:p w14:paraId="737DDB19" w14:textId="7754BB53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 xml:space="preserve"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</w:t>
      </w:r>
      <w:r w:rsidR="005413D7" w:rsidRPr="009B22D5">
        <w:rPr>
          <w:color w:val="000000" w:themeColor="text1"/>
          <w:sz w:val="28"/>
          <w:szCs w:val="28"/>
        </w:rPr>
        <w:lastRenderedPageBreak/>
        <w:t>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9B22D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9B22D5">
        <w:rPr>
          <w:color w:val="000000" w:themeColor="text1"/>
          <w:sz w:val="28"/>
          <w:szCs w:val="28"/>
        </w:rPr>
        <w:t>;</w:t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</w:t>
      </w:r>
      <w:r w:rsidR="00A570A2" w:rsidRPr="009B22D5">
        <w:rPr>
          <w:color w:val="000000" w:themeColor="text1"/>
          <w:sz w:val="28"/>
        </w:rPr>
        <w:lastRenderedPageBreak/>
        <w:t xml:space="preserve">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D52E9F" w:rsidRPr="009B22D5">
        <w:rPr>
          <w:color w:val="000000" w:themeColor="text1"/>
          <w:sz w:val="28"/>
        </w:rPr>
        <w:t>Neiseria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parvum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urealyticum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hominis</w:t>
      </w:r>
      <w:proofErr w:type="spellEnd"/>
      <w:r w:rsidR="00D52E9F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D52E9F" w:rsidRPr="009B22D5">
        <w:rPr>
          <w:color w:val="000000" w:themeColor="text1"/>
          <w:sz w:val="28"/>
        </w:rPr>
        <w:t>Gardnerella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D52E9F" w:rsidRPr="009B22D5">
        <w:rPr>
          <w:color w:val="000000" w:themeColor="text1"/>
          <w:sz w:val="28"/>
        </w:rPr>
        <w:t>Candida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spp</w:t>
      </w:r>
      <w:proofErr w:type="spellEnd"/>
      <w:r w:rsidR="00D52E9F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D52E9F" w:rsidRPr="009B22D5">
        <w:rPr>
          <w:color w:val="000000" w:themeColor="text1"/>
          <w:sz w:val="28"/>
        </w:rPr>
        <w:t>Спермограмма</w:t>
      </w:r>
      <w:proofErr w:type="spellEnd"/>
      <w:r w:rsidR="00D52E9F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</w:t>
      </w:r>
      <w:r w:rsidR="00A570A2" w:rsidRPr="009B22D5">
        <w:rPr>
          <w:color w:val="000000" w:themeColor="text1"/>
          <w:sz w:val="28"/>
        </w:rPr>
        <w:lastRenderedPageBreak/>
        <w:t>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9B22D5">
        <w:rPr>
          <w:color w:val="000000" w:themeColor="text1"/>
          <w:sz w:val="28"/>
        </w:rPr>
        <w:t>Neiseria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parvum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urealyticum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hominis</w:t>
      </w:r>
      <w:proofErr w:type="spellEnd"/>
      <w:r w:rsidR="00856BA9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9B22D5">
        <w:rPr>
          <w:color w:val="000000" w:themeColor="text1"/>
          <w:sz w:val="28"/>
        </w:rPr>
        <w:t>Gardnerella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9B22D5">
        <w:rPr>
          <w:color w:val="000000" w:themeColor="text1"/>
          <w:sz w:val="28"/>
        </w:rPr>
        <w:t>Candida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spp</w:t>
      </w:r>
      <w:proofErr w:type="spellEnd"/>
      <w:r w:rsidR="00856BA9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856BA9" w:rsidRPr="009B22D5">
        <w:rPr>
          <w:color w:val="000000" w:themeColor="text1"/>
          <w:sz w:val="28"/>
        </w:rPr>
        <w:t>Спермограмма</w:t>
      </w:r>
      <w:proofErr w:type="spellEnd"/>
      <w:r w:rsidR="00856BA9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</w:t>
      </w:r>
      <w:r w:rsidRPr="009B22D5">
        <w:rPr>
          <w:color w:val="000000" w:themeColor="text1"/>
          <w:sz w:val="28"/>
        </w:rPr>
        <w:lastRenderedPageBreak/>
        <w:t xml:space="preserve">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 w:rsidRPr="009B22D5">
        <w:rPr>
          <w:color w:val="000000" w:themeColor="text1"/>
          <w:sz w:val="28"/>
          <w:szCs w:val="28"/>
        </w:rPr>
        <w:t>;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</w:t>
      </w:r>
      <w:r w:rsidRPr="009B22D5">
        <w:rPr>
          <w:color w:val="000000" w:themeColor="text1"/>
          <w:sz w:val="28"/>
          <w:szCs w:val="28"/>
        </w:rPr>
        <w:lastRenderedPageBreak/>
        <w:t xml:space="preserve">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9B22D5">
        <w:rPr>
          <w:color w:val="000000" w:themeColor="text1"/>
          <w:sz w:val="28"/>
          <w:szCs w:val="28"/>
        </w:rPr>
        <w:t>virgo</w:t>
      </w:r>
      <w:proofErr w:type="spellEnd"/>
      <w:r w:rsidRPr="009B22D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7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</w:t>
      </w:r>
      <w:r w:rsidRPr="009B22D5">
        <w:rPr>
          <w:color w:val="000000" w:themeColor="text1"/>
          <w:sz w:val="28"/>
          <w:szCs w:val="28"/>
        </w:rPr>
        <w:lastRenderedPageBreak/>
        <w:t>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CB01E6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</w:t>
      </w:r>
      <w:r w:rsidRPr="009B22D5">
        <w:rPr>
          <w:color w:val="000000" w:themeColor="text1"/>
          <w:sz w:val="28"/>
        </w:rPr>
        <w:lastRenderedPageBreak/>
        <w:t>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2CF10CCB" w:rsidR="00C717F5" w:rsidRPr="009B22D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</w:t>
      </w:r>
      <w:r w:rsidRPr="009B22D5">
        <w:rPr>
          <w:color w:val="000000" w:themeColor="text1"/>
          <w:sz w:val="28"/>
        </w:rPr>
        <w:lastRenderedPageBreak/>
        <w:t xml:space="preserve">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</w:t>
      </w:r>
      <w:r w:rsidRPr="009B22D5">
        <w:rPr>
          <w:color w:val="000000" w:themeColor="text1"/>
          <w:sz w:val="28"/>
          <w:szCs w:val="28"/>
        </w:rPr>
        <w:lastRenderedPageBreak/>
        <w:t xml:space="preserve">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</w:t>
      </w:r>
      <w:r w:rsidRPr="009B22D5">
        <w:rPr>
          <w:color w:val="000000" w:themeColor="text1"/>
          <w:sz w:val="28"/>
          <w:szCs w:val="28"/>
        </w:rPr>
        <w:lastRenderedPageBreak/>
        <w:t>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</w:t>
      </w:r>
      <w:r w:rsidR="00347E71" w:rsidRPr="009B22D5">
        <w:rPr>
          <w:color w:val="000000" w:themeColor="text1"/>
          <w:sz w:val="28"/>
        </w:rPr>
        <w:lastRenderedPageBreak/>
        <w:t>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8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8"/>
      <w:r w:rsidR="004B5B71" w:rsidRPr="009B22D5">
        <w:rPr>
          <w:color w:val="000000" w:themeColor="text1"/>
          <w:sz w:val="28"/>
          <w:szCs w:val="28"/>
        </w:rPr>
        <w:t xml:space="preserve"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</w:t>
      </w:r>
      <w:r w:rsidR="004B5B71" w:rsidRPr="009B22D5">
        <w:rPr>
          <w:color w:val="000000" w:themeColor="text1"/>
          <w:sz w:val="28"/>
          <w:szCs w:val="28"/>
        </w:rPr>
        <w:lastRenderedPageBreak/>
        <w:t>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 xml:space="preserve">случаи, когда два и более посещений приходились на предыдущий месяц, а на повторный прием пациент не явился в текущем месяце, </w:t>
      </w:r>
      <w:r w:rsidR="00C13744" w:rsidRPr="009B22D5">
        <w:rPr>
          <w:color w:val="000000" w:themeColor="text1"/>
          <w:sz w:val="28"/>
        </w:rPr>
        <w:lastRenderedPageBreak/>
        <w:t>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9B22D5">
        <w:rPr>
          <w:color w:val="000000" w:themeColor="text1"/>
          <w:sz w:val="28"/>
        </w:rPr>
        <w:t>межучрежденческих</w:t>
      </w:r>
      <w:proofErr w:type="spellEnd"/>
      <w:r w:rsidR="00660ABD" w:rsidRPr="009B22D5">
        <w:rPr>
          <w:color w:val="000000" w:themeColor="text1"/>
          <w:sz w:val="28"/>
        </w:rPr>
        <w:t xml:space="preserve">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 xml:space="preserve">) при включении в счет и реестр счета случая оказания медицинской помощи в амбулаторных условиях, завершившегося оформлением </w:t>
      </w:r>
      <w:r w:rsidR="007E722F" w:rsidRPr="009B22D5">
        <w:rPr>
          <w:color w:val="000000" w:themeColor="text1"/>
          <w:sz w:val="28"/>
        </w:rPr>
        <w:lastRenderedPageBreak/>
        <w:t>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9B22D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9B22D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lastRenderedPageBreak/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9B22D5">
        <w:rPr>
          <w:color w:val="000000" w:themeColor="text1"/>
          <w:sz w:val="28"/>
          <w:szCs w:val="28"/>
        </w:rPr>
        <w:t>=</w:t>
      </w:r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9B22D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9B22D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9B22D5">
        <w:rPr>
          <w:color w:val="000000" w:themeColor="text1"/>
          <w:sz w:val="28"/>
          <w:szCs w:val="28"/>
        </w:rPr>
        <w:t>перитонеального</w:t>
      </w:r>
      <w:proofErr w:type="spellEnd"/>
      <w:r w:rsidRPr="009B22D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. В данных случаях значение элемента «</w:t>
      </w:r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«IDSP»=31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3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1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1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4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12" w:name="_Hlk114819282"/>
      <w:r w:rsidRPr="009B22D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2"/>
      <w:r w:rsidRPr="009B22D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3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3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</w:t>
      </w:r>
      <w:r w:rsidRPr="009B22D5">
        <w:rPr>
          <w:color w:val="000000" w:themeColor="text1"/>
          <w:sz w:val="28"/>
          <w:szCs w:val="28"/>
        </w:rPr>
        <w:lastRenderedPageBreak/>
        <w:t>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5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9B22D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9B22D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proofErr w:type="spellStart"/>
      <w:r w:rsidRPr="009B22D5">
        <w:rPr>
          <w:color w:val="000000" w:themeColor="text1"/>
          <w:sz w:val="28"/>
          <w:lang w:val="en-US"/>
        </w:rPr>
        <w:t>участник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специальной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военной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операции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9B22D5">
        <w:rPr>
          <w:color w:val="000000" w:themeColor="text1"/>
          <w:sz w:val="28"/>
          <w:lang w:val="en-US"/>
        </w:rPr>
        <w:t>уволенный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в </w:t>
      </w:r>
      <w:proofErr w:type="spellStart"/>
      <w:r w:rsidRPr="009B22D5">
        <w:rPr>
          <w:color w:val="000000" w:themeColor="text1"/>
          <w:sz w:val="28"/>
          <w:lang w:val="en-US"/>
        </w:rPr>
        <w:t>запас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</w:t>
      </w:r>
      <w:proofErr w:type="spellStart"/>
      <w:r w:rsidRPr="009B22D5">
        <w:rPr>
          <w:color w:val="000000" w:themeColor="text1"/>
          <w:sz w:val="28"/>
          <w:lang w:val="en-US"/>
        </w:rPr>
        <w:t>отставку</w:t>
      </w:r>
      <w:proofErr w:type="spellEnd"/>
      <w:r w:rsidRPr="009B22D5">
        <w:rPr>
          <w:color w:val="000000" w:themeColor="text1"/>
          <w:sz w:val="28"/>
          <w:lang w:val="en-US"/>
        </w:rPr>
        <w:t>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5.11. При формировании МО-исполнителями реестров счетов на оплату патолого-анатомических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5.12. Медицинская организация, в которой застрахованному лицу оказана 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E18F890" w:rsidR="00F80DBE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DBB460D" w14:textId="1D12C509" w:rsidR="00905013" w:rsidRPr="009B22D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0FF6126E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 xml:space="preserve">» – коэффициент </w:t>
      </w:r>
      <w:proofErr w:type="spellStart"/>
      <w:r w:rsidRPr="009B22D5">
        <w:rPr>
          <w:color w:val="000000" w:themeColor="text1"/>
          <w:sz w:val="28"/>
        </w:rPr>
        <w:t>затратоемкости</w:t>
      </w:r>
      <w:proofErr w:type="spellEnd"/>
      <w:r w:rsidRPr="009B22D5">
        <w:rPr>
          <w:color w:val="000000" w:themeColor="text1"/>
          <w:sz w:val="28"/>
        </w:rPr>
        <w:t>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9B22D5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6.7. В случае проведения </w:t>
      </w:r>
      <w:bookmarkStart w:id="14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4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6A0E4B11" w:rsidR="004B5B71" w:rsidRPr="009B22D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5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5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001»–«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027»,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032»–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067»,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070»–«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099»,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102»–«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9B22D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9B22D5">
        <w:rPr>
          <w:color w:val="000000" w:themeColor="text1"/>
          <w:sz w:val="28"/>
          <w:szCs w:val="28"/>
        </w:rPr>
        <w:t xml:space="preserve">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«IDSP»=31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6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7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</w:t>
      </w:r>
      <w:r w:rsidRPr="009B22D5">
        <w:rPr>
          <w:color w:val="000000" w:themeColor="text1"/>
          <w:sz w:val="28"/>
        </w:rPr>
        <w:lastRenderedPageBreak/>
        <w:t>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6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16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направлении сведений о результатах экспертиз с признаком первичности =1 (повторно) уточняются сведения о коде основания для отказа </w:t>
      </w:r>
      <w:r w:rsidRPr="009B22D5">
        <w:rPr>
          <w:color w:val="000000" w:themeColor="text1"/>
          <w:sz w:val="28"/>
          <w:szCs w:val="28"/>
        </w:rPr>
        <w:lastRenderedPageBreak/>
        <w:t>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</w:t>
      </w:r>
      <w:r w:rsidR="001F1EEE">
        <w:t xml:space="preserve"> №</w:t>
      </w:r>
      <w:r w:rsidR="001F1EEE">
        <w:t xml:space="preserve"> </w:t>
      </w:r>
      <w:r w:rsidR="001F1EEE">
        <w:t>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3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4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5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6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7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4EEE"/>
    <w:rsid w:val="000B7C17"/>
    <w:rsid w:val="000C096F"/>
    <w:rsid w:val="000C3BC0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8023D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C2523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72A66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08FB"/>
    <w:rsid w:val="00AC27C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47</Pages>
  <Words>18253</Words>
  <Characters>104045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24</cp:revision>
  <cp:lastPrinted>2025-02-26T00:21:00Z</cp:lastPrinted>
  <dcterms:created xsi:type="dcterms:W3CDTF">2025-01-28T04:42:00Z</dcterms:created>
  <dcterms:modified xsi:type="dcterms:W3CDTF">2025-03-04T01:17:00Z</dcterms:modified>
</cp:coreProperties>
</file>