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53395B6" w14:textId="77777777" w:rsidR="008B24F1" w:rsidRPr="00CB3828" w:rsidRDefault="008B24F1" w:rsidP="008B24F1">
      <w:pPr>
        <w:jc w:val="center"/>
        <w:rPr>
          <w:sz w:val="20"/>
        </w:rPr>
      </w:pPr>
      <w:r w:rsidRPr="00CB3828">
        <w:rPr>
          <w:sz w:val="20"/>
        </w:rPr>
        <w:t>(в редакции Дополнительн</w:t>
      </w:r>
      <w:r>
        <w:rPr>
          <w:sz w:val="20"/>
        </w:rPr>
        <w:t>ых</w:t>
      </w:r>
      <w:r w:rsidRPr="00CB3828">
        <w:rPr>
          <w:sz w:val="20"/>
        </w:rPr>
        <w:t xml:space="preserve"> соглашени</w:t>
      </w:r>
      <w:r>
        <w:rPr>
          <w:sz w:val="20"/>
        </w:rPr>
        <w:t>й</w:t>
      </w:r>
      <w:r w:rsidRPr="00CB3828">
        <w:rPr>
          <w:sz w:val="20"/>
        </w:rPr>
        <w:t>: №</w:t>
      </w:r>
      <w:r>
        <w:rPr>
          <w:sz w:val="20"/>
        </w:rPr>
        <w:t xml:space="preserve"> 2</w:t>
      </w:r>
      <w:r w:rsidRPr="00CB3828">
        <w:rPr>
          <w:sz w:val="20"/>
        </w:rPr>
        <w:t>/202</w:t>
      </w:r>
      <w:r>
        <w:rPr>
          <w:sz w:val="20"/>
        </w:rPr>
        <w:t>5</w:t>
      </w:r>
      <w:r w:rsidRPr="00CB3828">
        <w:rPr>
          <w:sz w:val="20"/>
        </w:rPr>
        <w:t xml:space="preserve"> от </w:t>
      </w:r>
      <w:r>
        <w:rPr>
          <w:sz w:val="20"/>
        </w:rPr>
        <w:t>05</w:t>
      </w:r>
      <w:r w:rsidRPr="00CB3828">
        <w:rPr>
          <w:sz w:val="20"/>
        </w:rPr>
        <w:t>.0</w:t>
      </w:r>
      <w:r>
        <w:rPr>
          <w:sz w:val="20"/>
        </w:rPr>
        <w:t>2</w:t>
      </w:r>
      <w:r w:rsidRPr="00CB3828">
        <w:rPr>
          <w:sz w:val="20"/>
        </w:rPr>
        <w:t>.202</w:t>
      </w:r>
      <w:r>
        <w:rPr>
          <w:sz w:val="20"/>
        </w:rPr>
        <w:t xml:space="preserve">5, </w:t>
      </w:r>
      <w:r w:rsidRPr="00CB3828">
        <w:rPr>
          <w:sz w:val="20"/>
        </w:rPr>
        <w:t>№</w:t>
      </w:r>
      <w:r>
        <w:rPr>
          <w:sz w:val="20"/>
        </w:rPr>
        <w:t xml:space="preserve"> 3</w:t>
      </w:r>
      <w:r w:rsidRPr="00CB3828">
        <w:rPr>
          <w:sz w:val="20"/>
        </w:rPr>
        <w:t>/202</w:t>
      </w:r>
      <w:r>
        <w:rPr>
          <w:sz w:val="20"/>
        </w:rPr>
        <w:t>5</w:t>
      </w:r>
      <w:r w:rsidRPr="00CB3828">
        <w:rPr>
          <w:sz w:val="20"/>
        </w:rPr>
        <w:t xml:space="preserve"> от </w:t>
      </w:r>
      <w:r>
        <w:rPr>
          <w:sz w:val="20"/>
        </w:rPr>
        <w:t>25</w:t>
      </w:r>
      <w:r w:rsidRPr="00CB3828">
        <w:rPr>
          <w:sz w:val="20"/>
        </w:rPr>
        <w:t>.0</w:t>
      </w:r>
      <w:r>
        <w:rPr>
          <w:sz w:val="20"/>
        </w:rPr>
        <w:t>2</w:t>
      </w:r>
      <w:r w:rsidRPr="00CB3828">
        <w:rPr>
          <w:sz w:val="20"/>
        </w:rPr>
        <w:t>.202</w:t>
      </w:r>
      <w:r>
        <w:rPr>
          <w:sz w:val="20"/>
        </w:rPr>
        <w:t>5</w:t>
      </w:r>
      <w:r w:rsidRPr="00CB3828">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8B24F1">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8B24F1">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8B24F1">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8B24F1">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8B24F1">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8B24F1">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8B24F1">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8B24F1">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8B24F1">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8B24F1">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8B24F1">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8B24F1">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8B24F1">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8B24F1">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8B24F1">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8B24F1">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8B24F1">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8B24F1">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8B24F1">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8B24F1">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8B24F1">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8B24F1">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8B24F1">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8B24F1">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8B24F1">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8B24F1">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8B24F1">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8B24F1">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8B24F1">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8B24F1">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8B24F1">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8B24F1">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8B24F1">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8B24F1">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8B24F1">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8B24F1">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8B24F1">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8B24F1">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8B24F1">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8B24F1">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8B24F1">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8B24F1">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8B24F1">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8B24F1">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8B24F1">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8B24F1">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8B24F1">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8B24F1">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8B24F1">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8B24F1">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8B24F1">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8B24F1">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8B24F1">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8B24F1">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8B24F1">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8B24F1">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8B24F1">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8B24F1">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8B24F1">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8B24F1">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8B24F1">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8B24F1">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8B24F1">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8B24F1">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8B24F1">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8B24F1">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8B24F1">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8B24F1">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8B24F1">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8B24F1">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8B24F1">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8B24F1">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8B24F1">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8B24F1">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8B24F1">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8B24F1">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8B24F1">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8B24F1">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8B24F1">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8B24F1">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8B24F1">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8B24F1">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8B24F1">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8B24F1">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8B24F1">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8B24F1">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8B24F1">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8B24F1">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8B24F1">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8B24F1">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8B24F1">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8B24F1">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8B24F1">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8B24F1">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8B24F1">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8B24F1">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8B24F1">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8B24F1">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8B24F1">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8B24F1">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8B24F1">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8B24F1">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8B24F1">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8B24F1">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8B24F1">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8B24F1">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8B24F1">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8B24F1">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8B24F1">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00FD0575" w:rsidRPr="00FD0575">
        <w:rPr>
          <w:color w:val="000000" w:themeColor="text1"/>
          <w:szCs w:val="28"/>
        </w:rPr>
        <w:t>патолого-анатомических</w:t>
      </w:r>
      <w:proofErr w:type="gramEnd"/>
      <w:r w:rsidR="00FD0575" w:rsidRPr="00FD0575">
        <w:rPr>
          <w:color w:val="000000" w:themeColor="text1"/>
          <w:szCs w:val="28"/>
        </w:rPr>
        <w:t xml:space="preserve">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A7614E">
      <w:pPr>
        <w:pStyle w:val="ConsPlusNormal"/>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A7614E">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w:t>
      </w:r>
      <w:proofErr w:type="spellStart"/>
      <w:r w:rsidRPr="00A7614E">
        <w:rPr>
          <w:rFonts w:ascii="Times New Roman" w:hAnsi="Times New Roman" w:cs="Times New Roman"/>
          <w:color w:val="000000" w:themeColor="text1"/>
          <w:sz w:val="28"/>
          <w:szCs w:val="28"/>
        </w:rPr>
        <w:t>межучрежденческих</w:t>
      </w:r>
      <w:proofErr w:type="spellEnd"/>
      <w:r w:rsidRPr="00A7614E">
        <w:rPr>
          <w:rFonts w:ascii="Times New Roman" w:hAnsi="Times New Roman" w:cs="Times New Roman"/>
          <w:color w:val="000000" w:themeColor="text1"/>
          <w:sz w:val="28"/>
          <w:szCs w:val="28"/>
        </w:rPr>
        <w:t xml:space="preserve">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1E6016C8"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7" w:name="_Toc61865661"/>
      <w:bookmarkStart w:id="38" w:name="_Toc189137622"/>
      <w:r w:rsidRPr="008F77B8">
        <w:rPr>
          <w:color w:val="000000" w:themeColor="text1"/>
        </w:rPr>
        <w:t>2.2. </w:t>
      </w:r>
      <w:bookmarkEnd w:id="37"/>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8"/>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w:t>
      </w:r>
      <w:r w:rsidR="00E84BE3" w:rsidRPr="00E84BE3">
        <w:rPr>
          <w:color w:val="000000" w:themeColor="text1"/>
          <w:szCs w:val="28"/>
        </w:rPr>
        <w:lastRenderedPageBreak/>
        <w:t xml:space="preserve">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не связанных с длительностью лечения, случай оказания медицинской помощи оплачивается как прерванный на </w:t>
      </w:r>
      <w:r w:rsidRPr="008F77B8">
        <w:rPr>
          <w:rFonts w:ascii="Times New Roman" w:hAnsi="Times New Roman" w:cs="Times New Roman"/>
          <w:color w:val="000000" w:themeColor="text1"/>
          <w:sz w:val="28"/>
        </w:rPr>
        <w:lastRenderedPageBreak/>
        <w:t>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39" w:name="_Toc61865662"/>
      <w:bookmarkStart w:id="40" w:name="_Toc189137623"/>
      <w:r w:rsidRPr="008F77B8">
        <w:rPr>
          <w:rStyle w:val="af8"/>
          <w:color w:val="000000" w:themeColor="text1"/>
        </w:rPr>
        <w:t>2.2.1.</w:t>
      </w:r>
      <w:bookmarkEnd w:id="39"/>
      <w:bookmarkEnd w:id="40"/>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1" w:name="_Toc61865663"/>
      <w:bookmarkStart w:id="42" w:name="_Toc189137624"/>
      <w:r w:rsidRPr="008F77B8">
        <w:rPr>
          <w:rStyle w:val="af8"/>
          <w:color w:val="000000" w:themeColor="text1"/>
        </w:rPr>
        <w:t>2.2.2.</w:t>
      </w:r>
      <w:bookmarkEnd w:id="41"/>
      <w:bookmarkEnd w:id="42"/>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3" w:name="_Toc61865664"/>
      <w:bookmarkStart w:id="44" w:name="_Toc189137625"/>
      <w:r w:rsidRPr="008F77B8">
        <w:rPr>
          <w:rStyle w:val="af8"/>
          <w:color w:val="000000" w:themeColor="text1"/>
        </w:rPr>
        <w:t>2.2.3.</w:t>
      </w:r>
      <w:bookmarkEnd w:id="43"/>
      <w:bookmarkEnd w:id="44"/>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5" w:name="_Toc61865665"/>
      <w:bookmarkStart w:id="46" w:name="_Toc189137626"/>
      <w:r w:rsidRPr="008F77B8">
        <w:rPr>
          <w:rStyle w:val="af8"/>
          <w:color w:val="000000" w:themeColor="text1"/>
        </w:rPr>
        <w:t>2.2.4.</w:t>
      </w:r>
      <w:bookmarkEnd w:id="45"/>
      <w:bookmarkEnd w:id="46"/>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lastRenderedPageBreak/>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7" w:name="_Toc61865666"/>
      <w:bookmarkStart w:id="48" w:name="_Toc189137627"/>
      <w:r w:rsidRPr="008F77B8">
        <w:rPr>
          <w:rStyle w:val="af8"/>
          <w:color w:val="000000" w:themeColor="text1"/>
        </w:rPr>
        <w:t>2.2.5.</w:t>
      </w:r>
      <w:bookmarkEnd w:id="47"/>
      <w:bookmarkEnd w:id="48"/>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xml:space="preserve">, а также не относящейся к </w:t>
      </w:r>
      <w:r w:rsidR="002F645D" w:rsidRPr="008F77B8">
        <w:rPr>
          <w:color w:val="000000" w:themeColor="text1"/>
        </w:rPr>
        <w:lastRenderedPageBreak/>
        <w:t>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49" w:name="_Toc189137628"/>
      <w:r w:rsidRPr="008F77B8">
        <w:rPr>
          <w:rStyle w:val="10"/>
          <w:b w:val="0"/>
          <w:bCs w:val="0"/>
          <w:color w:val="000000" w:themeColor="text1"/>
        </w:rPr>
        <w:t>2.2.5.2</w:t>
      </w:r>
      <w:bookmarkEnd w:id="49"/>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0" w:name="_Toc189137629"/>
      <w:r w:rsidRPr="008F77B8">
        <w:rPr>
          <w:rStyle w:val="10"/>
          <w:b w:val="0"/>
          <w:bCs w:val="0"/>
          <w:color w:val="000000" w:themeColor="text1"/>
        </w:rPr>
        <w:t>2.2.5.3.</w:t>
      </w:r>
      <w:bookmarkEnd w:id="50"/>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w:t>
      </w:r>
      <w:proofErr w:type="spellStart"/>
      <w:r w:rsidR="00DD2020" w:rsidRPr="008F77B8">
        <w:rPr>
          <w:color w:val="000000" w:themeColor="text1"/>
        </w:rPr>
        <w:t>затратоемкости</w:t>
      </w:r>
      <w:proofErr w:type="spellEnd"/>
      <w:r w:rsidR="00DD2020" w:rsidRPr="008F77B8">
        <w:rPr>
          <w:color w:val="000000" w:themeColor="text1"/>
        </w:rPr>
        <w:t xml:space="preserve">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8F77B8">
        <w:rPr>
          <w:rFonts w:eastAsia="Calibri"/>
          <w:color w:val="000000" w:themeColor="text1"/>
          <w:szCs w:val="28"/>
        </w:rPr>
        <w:t>затратоемкости</w:t>
      </w:r>
      <w:proofErr w:type="spellEnd"/>
      <w:r w:rsidRPr="008F77B8">
        <w:rPr>
          <w:rFonts w:eastAsia="Calibri"/>
          <w:color w:val="000000" w:themeColor="text1"/>
          <w:szCs w:val="28"/>
        </w:rPr>
        <w:t>.</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1" w:name="_Toc61865667"/>
      <w:bookmarkStart w:id="52" w:name="_Toc189137630"/>
      <w:r w:rsidRPr="008F77B8">
        <w:rPr>
          <w:rStyle w:val="af8"/>
          <w:rFonts w:ascii="Times New Roman" w:hAnsi="Times New Roman" w:cs="Times New Roman"/>
          <w:color w:val="000000" w:themeColor="text1"/>
        </w:rPr>
        <w:t>2.2.6.</w:t>
      </w:r>
      <w:bookmarkEnd w:id="51"/>
      <w:bookmarkEnd w:id="52"/>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w:t>
      </w:r>
      <w:r w:rsidR="00AB754B" w:rsidRPr="008F77B8">
        <w:rPr>
          <w:rFonts w:ascii="Times New Roman" w:hAnsi="Times New Roman" w:cs="Times New Roman"/>
          <w:color w:val="000000" w:themeColor="text1"/>
          <w:sz w:val="28"/>
          <w:szCs w:val="24"/>
        </w:rPr>
        <w:lastRenderedPageBreak/>
        <w:t xml:space="preserve">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3"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4"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3"/>
      <w:bookmarkEnd w:id="54"/>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5" w:name="_Toc61865669"/>
      <w:bookmarkStart w:id="56" w:name="_Toc189137632"/>
      <w:r w:rsidRPr="008F77B8">
        <w:rPr>
          <w:rStyle w:val="af8"/>
          <w:rFonts w:ascii="Times New Roman" w:hAnsi="Times New Roman" w:cs="Times New Roman"/>
          <w:color w:val="000000" w:themeColor="text1"/>
        </w:rPr>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5"/>
      <w:bookmarkEnd w:id="56"/>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w:t>
      </w:r>
      <w:r w:rsidRPr="008F77B8">
        <w:rPr>
          <w:rFonts w:ascii="Times New Roman" w:hAnsi="Times New Roman"/>
          <w:color w:val="000000" w:themeColor="text1"/>
          <w:sz w:val="28"/>
        </w:rPr>
        <w:lastRenderedPageBreak/>
        <w:t>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 xml:space="preserve">10. В случае длительности госпитализации при лекарственной терапии пациентов со злокачественными новообразованиями лимфоидной и кроветворной </w:t>
      </w:r>
      <w:r w:rsidRPr="00787D0A">
        <w:rPr>
          <w:rFonts w:ascii="Times New Roman" w:hAnsi="Times New Roman" w:cs="Times New Roman"/>
          <w:color w:val="000000" w:themeColor="text1"/>
          <w:sz w:val="28"/>
          <w:szCs w:val="28"/>
        </w:rPr>
        <w:lastRenderedPageBreak/>
        <w:t>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7" w:name="_Toc61865671"/>
      <w:bookmarkStart w:id="58"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7"/>
      <w:bookmarkEnd w:id="58"/>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59" w:name="мп_в_приемном_отделении_до_24часов"/>
      <w:bookmarkStart w:id="60" w:name="_Toc61865672"/>
      <w:bookmarkStart w:id="61" w:name="_Toc189137634"/>
      <w:r w:rsidRPr="008F77B8">
        <w:rPr>
          <w:rStyle w:val="af8"/>
          <w:color w:val="000000" w:themeColor="text1"/>
        </w:rPr>
        <w:t>2.2.1</w:t>
      </w:r>
      <w:bookmarkEnd w:id="59"/>
      <w:r w:rsidR="00725496" w:rsidRPr="008F77B8">
        <w:rPr>
          <w:rStyle w:val="af8"/>
          <w:color w:val="000000" w:themeColor="text1"/>
        </w:rPr>
        <w:t>0</w:t>
      </w:r>
      <w:r w:rsidRPr="008F77B8">
        <w:rPr>
          <w:rStyle w:val="af8"/>
          <w:color w:val="000000" w:themeColor="text1"/>
        </w:rPr>
        <w:t>.</w:t>
      </w:r>
      <w:bookmarkEnd w:id="60"/>
      <w:bookmarkEnd w:id="61"/>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2" w:name="_Toc61865673"/>
      <w:bookmarkStart w:id="63"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2"/>
      <w:bookmarkEnd w:id="63"/>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4"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4"/>
      <w:r w:rsidRPr="008F77B8">
        <w:rPr>
          <w:rStyle w:val="af8"/>
          <w:color w:val="000000" w:themeColor="text1"/>
        </w:rPr>
        <w:t xml:space="preserve"> </w:t>
      </w:r>
      <w:r w:rsidR="00487555" w:rsidRPr="008F77B8">
        <w:rPr>
          <w:color w:val="000000" w:themeColor="text1"/>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5"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w:t>
      </w:r>
      <w:r w:rsidR="00016811" w:rsidRPr="008F77B8">
        <w:rPr>
          <w:color w:val="000000" w:themeColor="text1"/>
          <w:szCs w:val="28"/>
        </w:rPr>
        <w:lastRenderedPageBreak/>
        <w:t xml:space="preserve">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bookmarkEnd w:id="65"/>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89137637"/>
      <w:r w:rsidRPr="008F77B8">
        <w:rPr>
          <w:rStyle w:val="af8"/>
          <w:rFonts w:ascii="Times New Roman" w:hAnsi="Times New Roman" w:cs="Times New Roman"/>
          <w:color w:val="000000" w:themeColor="text1"/>
        </w:rPr>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 xml:space="preserve">в условиях дневного стационара </w:t>
      </w:r>
      <w:r w:rsidR="00514A4A" w:rsidRPr="001F603A">
        <w:rPr>
          <w:rFonts w:ascii="Times New Roman" w:hAnsi="Times New Roman"/>
          <w:color w:val="000000" w:themeColor="text1"/>
          <w:sz w:val="28"/>
        </w:rPr>
        <w:lastRenderedPageBreak/>
        <w:t>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7"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89137639"/>
      <w:r w:rsidRPr="008F77B8">
        <w:rPr>
          <w:color w:val="000000" w:themeColor="text1"/>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 xml:space="preserve">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w:t>
      </w:r>
      <w:r w:rsidRPr="009F4616">
        <w:rPr>
          <w:bCs/>
          <w:color w:val="000000" w:themeColor="text1"/>
          <w:szCs w:val="28"/>
        </w:rPr>
        <w:lastRenderedPageBreak/>
        <w:t>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0" w:name="_Toc18913764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1" w:name="_Toc189137641"/>
      <w:r w:rsidRPr="008F77B8">
        <w:rPr>
          <w:rStyle w:val="af8"/>
          <w:color w:val="000000" w:themeColor="text1"/>
        </w:rPr>
        <w:t>2.4.2.</w:t>
      </w:r>
      <w:bookmarkEnd w:id="71"/>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2" w:name="_Toc189137642"/>
      <w:r w:rsidRPr="008F77B8">
        <w:rPr>
          <w:rStyle w:val="af8"/>
          <w:b w:val="0"/>
          <w:bCs/>
          <w:color w:val="000000" w:themeColor="text1"/>
        </w:rPr>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xml:space="preserve">, оказываемой каждой медицинской организацией в разрезе отдельных условий, видов и форм оказания медицинской </w:t>
      </w:r>
      <w:r w:rsidR="00910DF9" w:rsidRPr="008F77B8">
        <w:rPr>
          <w:b w:val="0"/>
          <w:bCs w:val="0"/>
          <w:color w:val="000000" w:themeColor="text1"/>
        </w:rPr>
        <w:lastRenderedPageBreak/>
        <w:t>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79"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r w:rsidRPr="00C11603">
        <w:lastRenderedPageBreak/>
        <w:t>организации не погашенной в течение 3 месяцев кредиторской задолженности за счет средств ОМС.</w:t>
      </w:r>
      <w:bookmarkEnd w:id="79"/>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0" w:name="_Toc61865679"/>
      <w:bookmarkStart w:id="81"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8913764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8913764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8F77B8">
        <w:rPr>
          <w:color w:val="000000" w:themeColor="text1"/>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8913765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3"/>
      </w:r>
    </w:p>
    <w:p w14:paraId="745957E6" w14:textId="6ECBDA9D" w:rsidR="00326E38" w:rsidRPr="00FE2669" w:rsidRDefault="00DD2020" w:rsidP="00FE2669">
      <w:pPr>
        <w:rPr>
          <w:color w:val="000000" w:themeColor="text1"/>
        </w:rPr>
      </w:pPr>
      <w:bookmarkStart w:id="87" w:name="_Toc61865681"/>
      <w:r w:rsidRPr="00FE2669">
        <w:rPr>
          <w:bCs/>
        </w:rPr>
        <w:t>3.3.3.</w:t>
      </w:r>
      <w:bookmarkEnd w:id="87"/>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w:t>
      </w:r>
      <w:r w:rsidRPr="00326E38">
        <w:rPr>
          <w:color w:val="000000"/>
          <w:szCs w:val="22"/>
        </w:rPr>
        <w:lastRenderedPageBreak/>
        <w:t xml:space="preserve">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8" w:name="_Hlk167879619"/>
      <w:bookmarkStart w:id="89"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8"/>
      <w:r w:rsidR="00CE1AB2">
        <w:rPr>
          <w:color w:val="000000"/>
          <w:szCs w:val="24"/>
        </w:rPr>
        <w:t>х</w:t>
      </w:r>
      <w:bookmarkEnd w:id="89"/>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0"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0"/>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lastRenderedPageBreak/>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 xml:space="preserve">в порядке </w:t>
      </w:r>
      <w:proofErr w:type="spellStart"/>
      <w:r w:rsidR="00730C55" w:rsidRPr="008F77B8">
        <w:rPr>
          <w:rFonts w:ascii="Times New Roman" w:hAnsi="Times New Roman" w:cs="Times New Roman"/>
          <w:color w:val="000000" w:themeColor="text1"/>
          <w:sz w:val="28"/>
          <w:szCs w:val="24"/>
        </w:rPr>
        <w:t>межучрежденческих</w:t>
      </w:r>
      <w:proofErr w:type="spellEnd"/>
      <w:r w:rsidR="00730C55"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lastRenderedPageBreak/>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 xml:space="preserve">осуществляется в порядке </w:t>
      </w:r>
      <w:proofErr w:type="spellStart"/>
      <w:r w:rsidRPr="008F77B8">
        <w:rPr>
          <w:rFonts w:ascii="Times New Roman" w:hAnsi="Times New Roman" w:cs="Times New Roman"/>
          <w:color w:val="000000" w:themeColor="text1"/>
          <w:sz w:val="28"/>
          <w:szCs w:val="28"/>
        </w:rPr>
        <w:t>межучрежденческих</w:t>
      </w:r>
      <w:proofErr w:type="spellEnd"/>
      <w:r w:rsidRPr="008F77B8">
        <w:rPr>
          <w:rFonts w:ascii="Times New Roman" w:hAnsi="Times New Roman" w:cs="Times New Roman"/>
          <w:color w:val="000000" w:themeColor="text1"/>
          <w:sz w:val="28"/>
          <w:szCs w:val="28"/>
        </w:rPr>
        <w:t xml:space="preserve">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1" w:name="_Toc61865683"/>
      <w:bookmarkStart w:id="92" w:name="_Toc189137651"/>
      <w:r w:rsidRPr="008F77B8">
        <w:rPr>
          <w:rStyle w:val="af8"/>
          <w:color w:val="000000" w:themeColor="text1"/>
        </w:rPr>
        <w:t>3.3.4.</w:t>
      </w:r>
      <w:bookmarkEnd w:id="91"/>
      <w:bookmarkEnd w:id="92"/>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8F77B8">
        <w:rPr>
          <w:color w:val="000000" w:themeColor="text1"/>
        </w:rPr>
        <w:t>фондодержателя</w:t>
      </w:r>
      <w:proofErr w:type="spellEnd"/>
      <w:r w:rsidRPr="008F77B8">
        <w:rPr>
          <w:color w:val="000000" w:themeColor="text1"/>
        </w:rPr>
        <w:t xml:space="preserve">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lastRenderedPageBreak/>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 xml:space="preserve">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3"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3"/>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 xml:space="preserve">услуга «Телемедицинская консультация врача-специалиста», оказанная на территории Камчатского края медицинской организацией, имеющей </w:t>
      </w:r>
      <w:r w:rsidRPr="008F77B8">
        <w:rPr>
          <w:color w:val="000000" w:themeColor="text1"/>
        </w:rPr>
        <w:lastRenderedPageBreak/>
        <w:t>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w:t>
      </w:r>
      <w:proofErr w:type="spellStart"/>
      <w:r w:rsidRPr="008F77B8">
        <w:rPr>
          <w:color w:val="000000" w:themeColor="text1"/>
          <w:szCs w:val="24"/>
        </w:rPr>
        <w:t>фондодержателя</w:t>
      </w:r>
      <w:proofErr w:type="spellEnd"/>
      <w:r w:rsidRPr="008F77B8">
        <w:rPr>
          <w:color w:val="000000" w:themeColor="text1"/>
          <w:szCs w:val="24"/>
        </w:rPr>
        <w:t xml:space="preserve">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 xml:space="preserve">гражданам, застрахованным за пределами Камчатского края, осуществляется в порядке </w:t>
      </w:r>
      <w:proofErr w:type="spellStart"/>
      <w:r w:rsidRPr="008F77B8">
        <w:rPr>
          <w:color w:val="000000" w:themeColor="text1"/>
          <w:szCs w:val="28"/>
        </w:rPr>
        <w:t>межучрежденческих</w:t>
      </w:r>
      <w:proofErr w:type="spellEnd"/>
      <w:r w:rsidRPr="008F77B8">
        <w:rPr>
          <w:color w:val="000000" w:themeColor="text1"/>
          <w:szCs w:val="28"/>
        </w:rPr>
        <w:t xml:space="preserve">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4"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4"/>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w:t>
      </w:r>
      <w:proofErr w:type="spellStart"/>
      <w:r w:rsidRPr="00532898">
        <w:rPr>
          <w:rFonts w:ascii="Times New Roman" w:hAnsi="Times New Roman"/>
          <w:color w:val="000000" w:themeColor="text1"/>
          <w:sz w:val="28"/>
          <w:szCs w:val="28"/>
          <w:lang w:val="ru-RU"/>
        </w:rPr>
        <w:t>фондодержателя</w:t>
      </w:r>
      <w:proofErr w:type="spellEnd"/>
      <w:r w:rsidRPr="00532898">
        <w:rPr>
          <w:rFonts w:ascii="Times New Roman" w:hAnsi="Times New Roman"/>
          <w:color w:val="000000" w:themeColor="text1"/>
          <w:sz w:val="28"/>
          <w:szCs w:val="28"/>
          <w:lang w:val="ru-RU"/>
        </w:rPr>
        <w:t xml:space="preserve"> (медицинской </w:t>
      </w:r>
      <w:r w:rsidRPr="00532898">
        <w:rPr>
          <w:rFonts w:ascii="Times New Roman" w:hAnsi="Times New Roman"/>
          <w:color w:val="000000" w:themeColor="text1"/>
          <w:sz w:val="28"/>
          <w:szCs w:val="28"/>
          <w:lang w:val="ru-RU"/>
        </w:rPr>
        <w:lastRenderedPageBreak/>
        <w:t>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w:t>
      </w:r>
      <w:proofErr w:type="spellStart"/>
      <w:r w:rsidRPr="00532898">
        <w:rPr>
          <w:color w:val="000000" w:themeColor="text1"/>
          <w:szCs w:val="28"/>
        </w:rPr>
        <w:t>межучрежденческих</w:t>
      </w:r>
      <w:proofErr w:type="spellEnd"/>
      <w:r w:rsidRPr="00532898">
        <w:rPr>
          <w:color w:val="000000" w:themeColor="text1"/>
          <w:szCs w:val="28"/>
        </w:rPr>
        <w:t xml:space="preserve">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lastRenderedPageBreak/>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w:t>
      </w:r>
      <w:proofErr w:type="spellStart"/>
      <w:r w:rsidRPr="0036098A">
        <w:rPr>
          <w:color w:val="000000" w:themeColor="text1"/>
          <w:szCs w:val="28"/>
        </w:rPr>
        <w:t>фондодержателя</w:t>
      </w:r>
      <w:proofErr w:type="spellEnd"/>
      <w:r w:rsidRPr="0036098A">
        <w:rPr>
          <w:color w:val="000000" w:themeColor="text1"/>
          <w:szCs w:val="28"/>
        </w:rPr>
        <w:t xml:space="preserve">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w:t>
      </w:r>
      <w:proofErr w:type="spellStart"/>
      <w:r w:rsidRPr="00244844">
        <w:rPr>
          <w:color w:val="000000" w:themeColor="text1"/>
          <w:szCs w:val="28"/>
        </w:rPr>
        <w:t>межучрежденческих</w:t>
      </w:r>
      <w:proofErr w:type="spellEnd"/>
      <w:r w:rsidRPr="00244844">
        <w:rPr>
          <w:color w:val="000000" w:themeColor="text1"/>
          <w:szCs w:val="28"/>
        </w:rPr>
        <w:t xml:space="preserve">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5" w:name="_Toc61865684"/>
      <w:bookmarkStart w:id="96"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5"/>
      <w:bookmarkEnd w:id="96"/>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8F77B8">
        <w:rPr>
          <w:color w:val="000000" w:themeColor="text1"/>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7"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8" w:name="_Hlk155951899"/>
      <w:r w:rsidR="00E253A6" w:rsidRPr="008F77B8">
        <w:rPr>
          <w:bCs/>
          <w:color w:val="000000" w:themeColor="text1"/>
          <w:szCs w:val="28"/>
        </w:rPr>
        <w:t>и диспансеризации для оценки репродуктивного здоровья женщин и мужчин</w:t>
      </w:r>
      <w:bookmarkEnd w:id="98"/>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7"/>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3E5ABBFB" w:rsidR="000C003E" w:rsidRPr="008F77B8" w:rsidRDefault="000C003E" w:rsidP="003C5291">
      <w:pPr>
        <w:pStyle w:val="Default"/>
        <w:ind w:firstLine="708"/>
        <w:jc w:val="both"/>
        <w:rPr>
          <w:strike/>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4884C67" w14:textId="3FB3BC3E" w:rsidR="00BD718C" w:rsidRPr="008F77B8" w:rsidRDefault="00DF0587" w:rsidP="004E50D1">
      <w:pPr>
        <w:autoSpaceDE w:val="0"/>
        <w:autoSpaceDN w:val="0"/>
        <w:adjustRightInd w:val="0"/>
        <w:ind w:firstLine="600"/>
        <w:rPr>
          <w:color w:val="000000" w:themeColor="text1"/>
        </w:rPr>
      </w:pPr>
      <w:bookmarkStart w:id="99" w:name="_Toc189137654"/>
      <w:r w:rsidRPr="008F77B8">
        <w:rPr>
          <w:rStyle w:val="af8"/>
          <w:color w:val="000000" w:themeColor="text1"/>
        </w:rPr>
        <w:t>3.4.1.</w:t>
      </w:r>
      <w:bookmarkEnd w:id="99"/>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0"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0"/>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1"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1"/>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w:t>
      </w:r>
      <w:r w:rsidRPr="008F77B8">
        <w:rPr>
          <w:color w:val="000000" w:themeColor="text1"/>
        </w:rPr>
        <w:lastRenderedPageBreak/>
        <w:t xml:space="preserve">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2"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2"/>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3"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3"/>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w:t>
      </w:r>
      <w:proofErr w:type="spellStart"/>
      <w:r w:rsidRPr="008F77B8">
        <w:rPr>
          <w:color w:val="000000" w:themeColor="text1"/>
          <w:szCs w:val="28"/>
        </w:rPr>
        <w:t>межучрежденческие</w:t>
      </w:r>
      <w:proofErr w:type="spellEnd"/>
      <w:r w:rsidRPr="008F77B8">
        <w:rPr>
          <w:color w:val="000000" w:themeColor="text1"/>
          <w:szCs w:val="28"/>
        </w:rPr>
        <w:t xml:space="preserve">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4"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4"/>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w:t>
      </w:r>
      <w:r w:rsidRPr="008F77B8">
        <w:rPr>
          <w:color w:val="000000" w:themeColor="text1"/>
        </w:rPr>
        <w:lastRenderedPageBreak/>
        <w:t>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5" w:name="_Toc189137660"/>
      <w:r w:rsidRPr="008F77B8">
        <w:rPr>
          <w:rStyle w:val="10"/>
          <w:b w:val="0"/>
          <w:bCs w:val="0"/>
          <w:color w:val="000000" w:themeColor="text1"/>
        </w:rPr>
        <w:t>3.4.2.5.</w:t>
      </w:r>
      <w:bookmarkEnd w:id="105"/>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w:t>
      </w:r>
      <w:proofErr w:type="spellStart"/>
      <w:r w:rsidRPr="008F77B8">
        <w:rPr>
          <w:rFonts w:ascii="Times New Roman" w:hAnsi="Times New Roman" w:cs="Times New Roman"/>
          <w:color w:val="000000" w:themeColor="text1"/>
          <w:sz w:val="28"/>
          <w:szCs w:val="24"/>
        </w:rPr>
        <w:t>межучрежденческих</w:t>
      </w:r>
      <w:proofErr w:type="spellEnd"/>
      <w:r w:rsidRPr="008F77B8">
        <w:rPr>
          <w:rFonts w:ascii="Times New Roman" w:hAnsi="Times New Roman" w:cs="Times New Roman"/>
          <w:color w:val="000000" w:themeColor="text1"/>
          <w:sz w:val="28"/>
          <w:szCs w:val="24"/>
        </w:rPr>
        <w:t xml:space="preserve"> расчетов по гражданско-правовым 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06" w:name="_Toc61865685"/>
      <w:bookmarkStart w:id="107"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6"/>
      <w:bookmarkEnd w:id="107"/>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lastRenderedPageBreak/>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08"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08"/>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09"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09"/>
      <w:r w:rsidRPr="008F77B8">
        <w:rPr>
          <w:color w:val="000000" w:themeColor="text1"/>
          <w:szCs w:val="28"/>
        </w:rPr>
        <w:t>,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0" w:name="_Toc61865686"/>
      <w:bookmarkStart w:id="111"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0"/>
      <w:bookmarkEnd w:id="111"/>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2" w:name="_Toc61865687"/>
      <w:bookmarkStart w:id="113"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2"/>
      <w:bookmarkEnd w:id="113"/>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4" w:name="_Toc189137664"/>
      <w:r w:rsidRPr="008F77B8">
        <w:rPr>
          <w:rStyle w:val="10"/>
          <w:b w:val="0"/>
          <w:bCs w:val="0"/>
          <w:color w:val="000000" w:themeColor="text1"/>
        </w:rPr>
        <w:lastRenderedPageBreak/>
        <w:t>3.4.</w:t>
      </w:r>
      <w:r w:rsidR="0015774E" w:rsidRPr="008F77B8">
        <w:rPr>
          <w:rStyle w:val="10"/>
          <w:b w:val="0"/>
          <w:bCs w:val="0"/>
          <w:color w:val="000000" w:themeColor="text1"/>
        </w:rPr>
        <w:t>5</w:t>
      </w:r>
      <w:r w:rsidRPr="008F77B8">
        <w:rPr>
          <w:rStyle w:val="10"/>
          <w:b w:val="0"/>
          <w:bCs w:val="0"/>
          <w:color w:val="000000" w:themeColor="text1"/>
        </w:rPr>
        <w:t>.1.</w:t>
      </w:r>
      <w:bookmarkEnd w:id="114"/>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5" w:name="_Toc189137665"/>
      <w:bookmarkStart w:id="116"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5"/>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6"/>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17" w:name="_Toc61865534"/>
      <w:bookmarkStart w:id="118" w:name="_Toc61865688"/>
      <w:bookmarkStart w:id="119"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17"/>
      <w:bookmarkEnd w:id="118"/>
      <w:bookmarkEnd w:id="119"/>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 xml:space="preserve">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w:t>
      </w:r>
      <w:r w:rsidR="00786C24" w:rsidRPr="008F77B8">
        <w:rPr>
          <w:color w:val="000000" w:themeColor="text1"/>
        </w:rPr>
        <w:lastRenderedPageBreak/>
        <w:t>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0"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0"/>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1" w:name="_Toc189137668"/>
      <w:r w:rsidRPr="008F77B8">
        <w:rPr>
          <w:rStyle w:val="af8"/>
          <w:rFonts w:eastAsia="Calibri"/>
          <w:color w:val="000000" w:themeColor="text1"/>
        </w:rPr>
        <w:t>3.4.7.</w:t>
      </w:r>
      <w:bookmarkEnd w:id="121"/>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Оплата страховой медицинской организацией посещений с иными целями и обращений по заболеванию по направлениям медицинских организаций, выданных </w:t>
      </w:r>
      <w:r w:rsidRPr="008F77B8">
        <w:rPr>
          <w:rFonts w:eastAsia="Calibri"/>
          <w:color w:val="000000" w:themeColor="text1"/>
          <w:szCs w:val="28"/>
          <w:lang w:eastAsia="en-US"/>
        </w:rPr>
        <w:lastRenderedPageBreak/>
        <w:t>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w:t>
      </w:r>
      <w:r w:rsidRPr="008F77B8">
        <w:rPr>
          <w:rFonts w:eastAsia="Calibri"/>
          <w:color w:val="000000" w:themeColor="text1"/>
          <w:szCs w:val="28"/>
          <w:lang w:eastAsia="en-US"/>
        </w:rPr>
        <w:lastRenderedPageBreak/>
        <w:t xml:space="preserve">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2" w:name="_3.5._Утвердить_с"/>
      <w:bookmarkStart w:id="123" w:name="_Hlk61964329"/>
      <w:bookmarkStart w:id="124" w:name="_Toc189137669"/>
      <w:bookmarkEnd w:id="122"/>
      <w:r w:rsidRPr="008F77B8">
        <w:rPr>
          <w:color w:val="000000" w:themeColor="text1"/>
        </w:rPr>
        <w:t>3.5.</w:t>
      </w:r>
      <w:bookmarkEnd w:id="123"/>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4"/>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5" w:name="_Toc189137670"/>
      <w:r w:rsidRPr="008F77B8">
        <w:rPr>
          <w:rStyle w:val="10"/>
          <w:rFonts w:ascii="Times New Roman" w:hAnsi="Times New Roman" w:cs="Times New Roman"/>
          <w:b w:val="0"/>
          <w:bCs w:val="0"/>
          <w:color w:val="000000" w:themeColor="text1"/>
        </w:rPr>
        <w:t>3.5.1.</w:t>
      </w:r>
      <w:bookmarkEnd w:id="125"/>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8B24F1"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 xml:space="preserve">коэффициент относительной </w:t>
            </w:r>
            <w:proofErr w:type="spellStart"/>
            <w:r w:rsidR="00D243A6" w:rsidRPr="008F77B8">
              <w:rPr>
                <w:rFonts w:ascii="Times New Roman" w:hAnsi="Times New Roman" w:cs="Times New Roman"/>
                <w:color w:val="000000" w:themeColor="text1"/>
                <w:sz w:val="28"/>
              </w:rPr>
              <w:t>затратоемкости</w:t>
            </w:r>
            <w:proofErr w:type="spellEnd"/>
            <w:r w:rsidR="00D243A6" w:rsidRPr="008F77B8">
              <w:rPr>
                <w:rFonts w:ascii="Times New Roman" w:hAnsi="Times New Roman" w:cs="Times New Roman"/>
                <w:color w:val="000000" w:themeColor="text1"/>
                <w:sz w:val="28"/>
              </w:rPr>
              <w:t xml:space="preserve">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8B24F1"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8B24F1"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6" w:name="_Toc189137671"/>
      <w:r w:rsidRPr="008F77B8">
        <w:rPr>
          <w:rStyle w:val="10"/>
          <w:rFonts w:ascii="Times New Roman" w:hAnsi="Times New Roman" w:cs="Times New Roman"/>
          <w:b w:val="0"/>
          <w:bCs w:val="0"/>
          <w:color w:val="000000" w:themeColor="text1"/>
        </w:rPr>
        <w:t>3.5.2.</w:t>
      </w:r>
      <w:bookmarkEnd w:id="126"/>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27"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27"/>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28" w:name="_Toc189137673"/>
      <w:r w:rsidR="001E3905" w:rsidRPr="008F77B8">
        <w:rPr>
          <w:rStyle w:val="af8"/>
          <w:color w:val="000000" w:themeColor="text1"/>
        </w:rPr>
        <w:t>3.5.4.</w:t>
      </w:r>
      <w:bookmarkEnd w:id="128"/>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29" w:name="_Toc189137674"/>
      <w:r w:rsidRPr="008F77B8">
        <w:rPr>
          <w:rStyle w:val="10"/>
          <w:b w:val="0"/>
          <w:bCs w:val="0"/>
          <w:color w:val="000000" w:themeColor="text1"/>
        </w:rPr>
        <w:lastRenderedPageBreak/>
        <w:t>3.5.4.1.</w:t>
      </w:r>
      <w:bookmarkEnd w:id="129"/>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0" w:name="P2265"/>
      <w:bookmarkStart w:id="131" w:name="_Toc189137675"/>
      <w:bookmarkEnd w:id="130"/>
      <w:r w:rsidRPr="008F77B8">
        <w:rPr>
          <w:rStyle w:val="10"/>
          <w:rFonts w:ascii="Times New Roman" w:hAnsi="Times New Roman" w:cs="Times New Roman"/>
          <w:b w:val="0"/>
          <w:bCs w:val="0"/>
          <w:color w:val="000000" w:themeColor="text1"/>
        </w:rPr>
        <w:t>3.5.4.2.</w:t>
      </w:r>
      <w:bookmarkEnd w:id="131"/>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2" w:name="_Toc189137676"/>
      <w:r w:rsidRPr="008F77B8">
        <w:rPr>
          <w:rStyle w:val="10"/>
          <w:b w:val="0"/>
          <w:bCs w:val="0"/>
          <w:color w:val="000000" w:themeColor="text1"/>
        </w:rPr>
        <w:t>3.5.4.3.</w:t>
      </w:r>
      <w:bookmarkEnd w:id="132"/>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3"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3"/>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4" w:name="_Toc189137678"/>
      <w:r w:rsidRPr="008F77B8">
        <w:rPr>
          <w:rStyle w:val="af8"/>
          <w:rFonts w:eastAsia="Calibri"/>
          <w:color w:val="000000" w:themeColor="text1"/>
        </w:rPr>
        <w:t>3.5.4.5.</w:t>
      </w:r>
      <w:bookmarkEnd w:id="134"/>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lastRenderedPageBreak/>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5" w:name="_Toc189137679"/>
      <w:r w:rsidRPr="008F77B8">
        <w:rPr>
          <w:rStyle w:val="af8"/>
          <w:color w:val="000000" w:themeColor="text1"/>
        </w:rPr>
        <w:t>3.5.5.</w:t>
      </w:r>
      <w:bookmarkEnd w:id="135"/>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36" w:name="_Toc61865689"/>
      <w:bookmarkStart w:id="137"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6"/>
      <w:bookmarkEnd w:id="137"/>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38" w:name="_Toc479070976"/>
      <w:bookmarkStart w:id="139" w:name="_Toc61865690"/>
    </w:p>
    <w:p w14:paraId="5B29287D" w14:textId="1DFA7662" w:rsidR="00606A56" w:rsidRPr="008F77B8" w:rsidRDefault="00DD2020" w:rsidP="00666117">
      <w:pPr>
        <w:autoSpaceDE w:val="0"/>
        <w:autoSpaceDN w:val="0"/>
        <w:adjustRightInd w:val="0"/>
        <w:rPr>
          <w:color w:val="000000" w:themeColor="text1"/>
          <w:szCs w:val="28"/>
        </w:rPr>
      </w:pPr>
      <w:bookmarkStart w:id="140"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38"/>
      <w:bookmarkEnd w:id="139"/>
      <w:bookmarkEnd w:id="140"/>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lastRenderedPageBreak/>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1" w:name="_Toc61865691"/>
      <w:bookmarkStart w:id="142"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1"/>
      <w:bookmarkEnd w:id="142"/>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относительной </w:t>
      </w:r>
      <w:proofErr w:type="spellStart"/>
      <w:r w:rsidRPr="008F77B8">
        <w:rPr>
          <w:color w:val="000000" w:themeColor="text1"/>
          <w:szCs w:val="28"/>
        </w:rPr>
        <w:t>затратоемкости</w:t>
      </w:r>
      <w:proofErr w:type="spellEnd"/>
      <w:r w:rsidRPr="008F77B8">
        <w:rPr>
          <w:color w:val="000000" w:themeColor="text1"/>
          <w:szCs w:val="28"/>
        </w:rPr>
        <w:t xml:space="preserve">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3" w:name="_Toc189137683"/>
      <w:r w:rsidRPr="008F77B8">
        <w:rPr>
          <w:rStyle w:val="af8"/>
          <w:rFonts w:ascii="Times New Roman" w:hAnsi="Times New Roman" w:cs="Times New Roman"/>
          <w:color w:val="000000" w:themeColor="text1"/>
        </w:rPr>
        <w:t>3.6.1.</w:t>
      </w:r>
      <w:bookmarkEnd w:id="143"/>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4" w:name="_Toc189137684"/>
      <w:r w:rsidRPr="008F77B8">
        <w:rPr>
          <w:rStyle w:val="10"/>
          <w:rFonts w:ascii="Times New Roman" w:hAnsi="Times New Roman" w:cs="Times New Roman"/>
          <w:b w:val="0"/>
          <w:bCs w:val="0"/>
          <w:color w:val="000000" w:themeColor="text1"/>
        </w:rPr>
        <w:t>3.6.1.1.</w:t>
      </w:r>
      <w:bookmarkEnd w:id="144"/>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lastRenderedPageBreak/>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5"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5"/>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46"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6"/>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47"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47"/>
      <w:r w:rsidRPr="008F77B8">
        <w:rPr>
          <w:rStyle w:val="af8"/>
          <w:color w:val="000000" w:themeColor="text1"/>
        </w:rPr>
        <w:t xml:space="preserve"> </w:t>
      </w:r>
      <w:bookmarkStart w:id="148"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49"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48"/>
      <w:bookmarkEnd w:id="149"/>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0"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0"/>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1" w:name="_Toc189137689"/>
      <w:r w:rsidRPr="008F77B8">
        <w:rPr>
          <w:rStyle w:val="af8"/>
          <w:color w:val="000000" w:themeColor="text1"/>
        </w:rPr>
        <w:t>3.7.1.</w:t>
      </w:r>
      <w:bookmarkEnd w:id="151"/>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2" w:name="тарифы_СМП"/>
      <w:bookmarkStart w:id="153" w:name="_Toc61865695"/>
    </w:p>
    <w:p w14:paraId="5C2E95AC" w14:textId="145F86C4" w:rsidR="000F0D3D" w:rsidRPr="008F77B8" w:rsidRDefault="00DD2020" w:rsidP="00DD2020">
      <w:pPr>
        <w:ind w:firstLine="708"/>
        <w:rPr>
          <w:rStyle w:val="10"/>
          <w:b w:val="0"/>
          <w:color w:val="000000" w:themeColor="text1"/>
        </w:rPr>
      </w:pPr>
      <w:bookmarkStart w:id="154"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2"/>
      <w:bookmarkEnd w:id="153"/>
      <w:bookmarkEnd w:id="154"/>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5"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56"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5"/>
      <w:bookmarkEnd w:id="156"/>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57" w:name="_Toc189137692"/>
      <w:r w:rsidRPr="008F77B8">
        <w:rPr>
          <w:rStyle w:val="af8"/>
          <w:color w:val="000000" w:themeColor="text1"/>
        </w:rPr>
        <w:lastRenderedPageBreak/>
        <w:t xml:space="preserve">3.8. </w:t>
      </w:r>
      <w:r w:rsidR="00CF62ED" w:rsidRPr="008F77B8">
        <w:rPr>
          <w:color w:val="000000" w:themeColor="text1"/>
        </w:rPr>
        <w:t xml:space="preserve">В целях </w:t>
      </w:r>
      <w:bookmarkStart w:id="158"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8"/>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57"/>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59" w:name="_Toc189137693"/>
      <w:r w:rsidRPr="008F77B8">
        <w:rPr>
          <w:rStyle w:val="af8"/>
          <w:color w:val="000000" w:themeColor="text1"/>
        </w:rPr>
        <w:t>3.8.1.</w:t>
      </w:r>
      <w:bookmarkEnd w:id="159"/>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0" w:name="_Toc189137694"/>
      <w:r w:rsidRPr="008F77B8">
        <w:rPr>
          <w:rStyle w:val="af8"/>
          <w:color w:val="000000" w:themeColor="text1"/>
        </w:rPr>
        <w:t>3.8.2.</w:t>
      </w:r>
      <w:bookmarkEnd w:id="160"/>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1"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1"/>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2" w:name="_4._Размер_неоплаты"/>
      <w:bookmarkStart w:id="163" w:name="_Toc61865697"/>
      <w:bookmarkEnd w:id="162"/>
    </w:p>
    <w:p w14:paraId="66E6BE6A" w14:textId="3DA1A3C2" w:rsidR="00DD2020" w:rsidRDefault="00DD2020" w:rsidP="00225CB1">
      <w:pPr>
        <w:pStyle w:val="1"/>
        <w:rPr>
          <w:color w:val="000000" w:themeColor="text1"/>
        </w:rPr>
      </w:pPr>
      <w:bookmarkStart w:id="164" w:name="_Toc189137696"/>
      <w:r w:rsidRPr="008F77B8">
        <w:rPr>
          <w:color w:val="000000" w:themeColor="text1"/>
        </w:rPr>
        <w:lastRenderedPageBreak/>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3"/>
      <w:bookmarkEnd w:id="164"/>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5" w:name="_Toc189137697"/>
      <w:r w:rsidRPr="008F77B8">
        <w:rPr>
          <w:rStyle w:val="af8"/>
          <w:color w:val="000000" w:themeColor="text1"/>
        </w:rPr>
        <w:t>4.1.</w:t>
      </w:r>
      <w:bookmarkEnd w:id="165"/>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6" w:name="_Toc189137698"/>
      <w:r w:rsidRPr="008F77B8">
        <w:rPr>
          <w:rStyle w:val="af8"/>
          <w:color w:val="000000" w:themeColor="text1"/>
        </w:rPr>
        <w:t>4.2.</w:t>
      </w:r>
      <w:bookmarkEnd w:id="166"/>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67" w:name="_Toc189137699"/>
      <w:r w:rsidRPr="008F77B8">
        <w:rPr>
          <w:rStyle w:val="af8"/>
          <w:color w:val="000000" w:themeColor="text1"/>
        </w:rPr>
        <w:t>4.2.1.</w:t>
      </w:r>
      <w:bookmarkEnd w:id="167"/>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lastRenderedPageBreak/>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68" w:name="_Toc189137700"/>
      <w:r w:rsidRPr="008F77B8">
        <w:rPr>
          <w:rStyle w:val="af8"/>
          <w:color w:val="000000" w:themeColor="text1"/>
        </w:rPr>
        <w:t>4.2.2</w:t>
      </w:r>
      <w:r w:rsidR="00BA0CC4" w:rsidRPr="008F77B8">
        <w:rPr>
          <w:rStyle w:val="af8"/>
          <w:color w:val="000000" w:themeColor="text1"/>
        </w:rPr>
        <w:t>.</w:t>
      </w:r>
      <w:bookmarkEnd w:id="168"/>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8B24F1"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w:t>
      </w:r>
      <w:r w:rsidRPr="008F77B8">
        <w:rPr>
          <w:color w:val="000000" w:themeColor="text1"/>
          <w:szCs w:val="28"/>
        </w:rPr>
        <w:lastRenderedPageBreak/>
        <w:t>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69" w:name="_Toc189137701"/>
      <w:r w:rsidRPr="008F77B8">
        <w:rPr>
          <w:rStyle w:val="10"/>
          <w:b w:val="0"/>
          <w:bCs w:val="0"/>
          <w:color w:val="000000" w:themeColor="text1"/>
        </w:rPr>
        <w:t>4.2.2.1.</w:t>
      </w:r>
      <w:bookmarkEnd w:id="169"/>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0" w:name="_Toc189137702"/>
      <w:r w:rsidRPr="00272384">
        <w:rPr>
          <w:rStyle w:val="10"/>
          <w:b w:val="0"/>
          <w:bCs w:val="0"/>
          <w:color w:val="000000" w:themeColor="text1"/>
        </w:rPr>
        <w:t>4.2.2.2.</w:t>
      </w:r>
      <w:bookmarkEnd w:id="170"/>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1" w:name="_Toc189137703"/>
      <w:r w:rsidRPr="00272384">
        <w:rPr>
          <w:rStyle w:val="10"/>
          <w:b w:val="0"/>
          <w:bCs w:val="0"/>
          <w:color w:val="000000" w:themeColor="text1"/>
        </w:rPr>
        <w:t>4.2.2.3.</w:t>
      </w:r>
      <w:bookmarkEnd w:id="171"/>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2" w:name="_Toc189137704"/>
      <w:r w:rsidRPr="00272384">
        <w:rPr>
          <w:rStyle w:val="10"/>
          <w:b w:val="0"/>
          <w:bCs w:val="0"/>
          <w:color w:val="000000" w:themeColor="text1"/>
        </w:rPr>
        <w:t>4.2.2.4.</w:t>
      </w:r>
      <w:bookmarkEnd w:id="172"/>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3"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3"/>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4" w:name="_Toc189137706"/>
      <w:r w:rsidRPr="008F77B8">
        <w:rPr>
          <w:rStyle w:val="af8"/>
          <w:color w:val="000000" w:themeColor="text1"/>
        </w:rPr>
        <w:t>4.3.</w:t>
      </w:r>
      <w:bookmarkEnd w:id="174"/>
      <w:r w:rsidRPr="008F77B8">
        <w:rPr>
          <w:rStyle w:val="af8"/>
          <w:color w:val="000000" w:themeColor="text1"/>
        </w:rPr>
        <w:t xml:space="preserve"> </w:t>
      </w:r>
      <w:r w:rsidRPr="008F77B8">
        <w:rPr>
          <w:color w:val="000000" w:themeColor="text1"/>
        </w:rPr>
        <w:t xml:space="preserve">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w:t>
      </w:r>
      <w:r w:rsidRPr="008F77B8">
        <w:rPr>
          <w:color w:val="000000" w:themeColor="text1"/>
        </w:rPr>
        <w:lastRenderedPageBreak/>
        <w:t>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5"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5"/>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6" w:name="_Toc61865698"/>
    </w:p>
    <w:p w14:paraId="78AA9960" w14:textId="2A171C8E"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209BE42" w14:textId="1ECC46C8" w:rsidR="00DD2020" w:rsidRPr="008F77B8" w:rsidRDefault="00DD2020" w:rsidP="00225CB1">
      <w:pPr>
        <w:pStyle w:val="1"/>
        <w:rPr>
          <w:color w:val="000000" w:themeColor="text1"/>
        </w:rPr>
      </w:pPr>
      <w:bookmarkStart w:id="177"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6"/>
      <w:bookmarkEnd w:id="177"/>
    </w:p>
    <w:p w14:paraId="335EECBC" w14:textId="216E4CAB" w:rsidR="005D65A5" w:rsidRPr="000F42D7" w:rsidRDefault="00DD2020" w:rsidP="00DD2020">
      <w:pPr>
        <w:ind w:firstLine="708"/>
        <w:rPr>
          <w:color w:val="000000" w:themeColor="text1"/>
        </w:rPr>
      </w:pPr>
      <w:bookmarkStart w:id="178" w:name="_Toc61865699"/>
      <w:bookmarkStart w:id="179" w:name="_Toc189137709"/>
      <w:r w:rsidRPr="000F42D7">
        <w:rPr>
          <w:rStyle w:val="af8"/>
          <w:color w:val="000000" w:themeColor="text1"/>
        </w:rPr>
        <w:t>5.1.</w:t>
      </w:r>
      <w:bookmarkEnd w:id="178"/>
      <w:bookmarkEnd w:id="179"/>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lastRenderedPageBreak/>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0" w:name="_Toc61865700"/>
      <w:bookmarkStart w:id="181" w:name="_Toc189137710"/>
      <w:r w:rsidRPr="008F77B8">
        <w:rPr>
          <w:rStyle w:val="af8"/>
          <w:color w:val="000000" w:themeColor="text1"/>
        </w:rPr>
        <w:t>5.2.</w:t>
      </w:r>
      <w:bookmarkEnd w:id="180"/>
      <w:bookmarkEnd w:id="181"/>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2" w:name="_Toc61865701"/>
      <w:bookmarkStart w:id="183" w:name="_Toc189137711"/>
      <w:r w:rsidRPr="008F77B8">
        <w:rPr>
          <w:rStyle w:val="af8"/>
          <w:color w:val="000000" w:themeColor="text1"/>
        </w:rPr>
        <w:t>5.3.</w:t>
      </w:r>
      <w:bookmarkEnd w:id="182"/>
      <w:bookmarkEnd w:id="183"/>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84" w:name="_Toc189137712"/>
      <w:r w:rsidRPr="008F77B8">
        <w:rPr>
          <w:rStyle w:val="af8"/>
          <w:color w:val="000000" w:themeColor="text1"/>
        </w:rPr>
        <w:t>5.4.</w:t>
      </w:r>
      <w:bookmarkEnd w:id="184"/>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85"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85"/>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C02D02" w:rsidRDefault="00C02D02">
      <w:r>
        <w:separator/>
      </w:r>
    </w:p>
  </w:endnote>
  <w:endnote w:type="continuationSeparator" w:id="0">
    <w:p w14:paraId="60D986FC" w14:textId="77777777" w:rsidR="00C02D02" w:rsidRDefault="00C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C02D02" w:rsidRDefault="00C02D02"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C02D02" w:rsidRDefault="00C02D02"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C02D02" w:rsidRDefault="00C02D02">
      <w:r>
        <w:separator/>
      </w:r>
    </w:p>
  </w:footnote>
  <w:footnote w:type="continuationSeparator" w:id="0">
    <w:p w14:paraId="4FD1024D" w14:textId="77777777" w:rsidR="00C02D02" w:rsidRDefault="00C02D02">
      <w:r>
        <w:continuationSeparator/>
      </w:r>
    </w:p>
  </w:footnote>
  <w:footnote w:id="1">
    <w:p w14:paraId="0471B204" w14:textId="5102DCCD" w:rsidR="00A7614E" w:rsidRPr="00A7614E" w:rsidRDefault="00A7614E"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E500158" w:rsidR="00A7614E" w:rsidRDefault="00A7614E"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110B7574" w14:textId="3A780232" w:rsidR="00B32A7C" w:rsidRPr="00B32A7C" w:rsidRDefault="00B32A7C" w:rsidP="00B32A7C">
      <w:pPr>
        <w:pStyle w:val="ad"/>
        <w:ind w:firstLine="0"/>
        <w:rPr>
          <w:sz w:val="20"/>
        </w:rPr>
      </w:pPr>
      <w:r>
        <w:rPr>
          <w:rStyle w:val="af"/>
        </w:rPr>
        <w:footnoteRef/>
      </w:r>
      <w:r>
        <w:t xml:space="preserve"> </w:t>
      </w:r>
      <w:bookmarkStart w:id="86"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C02D02" w:rsidRDefault="00C02D02">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9440-FA4D-472D-A49C-154F53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6149</TotalTime>
  <Pages>57</Pages>
  <Words>23602</Words>
  <Characters>134537</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157824</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76</cp:revision>
  <cp:lastPrinted>2025-01-30T03:14:00Z</cp:lastPrinted>
  <dcterms:created xsi:type="dcterms:W3CDTF">2024-02-16T07:00:00Z</dcterms:created>
  <dcterms:modified xsi:type="dcterms:W3CDTF">2025-03-04T00:42:00Z</dcterms:modified>
</cp:coreProperties>
</file>