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52843577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507322" w:rsidRPr="00674025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4D2B6D" w:rsidRPr="00674025">
        <w:rPr>
          <w:color w:val="000000" w:themeColor="text1"/>
        </w:rPr>
        <w:t>2024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4D2B6D" w:rsidRPr="00674025">
        <w:rPr>
          <w:color w:val="000000" w:themeColor="text1"/>
        </w:rPr>
        <w:t>2024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36843067" w:rsidR="00EA7E53" w:rsidRPr="00674025" w:rsidRDefault="0096101D" w:rsidP="00EA7E53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2024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53952AB8" w14:textId="7ECE27D3" w:rsidR="00262920" w:rsidRPr="00674025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2024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1C94C0AB" w14:textId="77777777" w:rsidR="00A71144" w:rsidRPr="00674025" w:rsidRDefault="00346794" w:rsidP="00923464">
      <w:pPr>
        <w:jc w:val="both"/>
        <w:rPr>
          <w:color w:val="000000" w:themeColor="text1"/>
        </w:rPr>
      </w:pPr>
      <w:r w:rsidRPr="00674025">
        <w:rPr>
          <w:color w:val="000000" w:themeColor="text1"/>
        </w:rPr>
        <w:tab/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</w:t>
      </w:r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015,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016,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 xml:space="preserve">022, </w:t>
      </w:r>
      <w:r w:rsidRPr="00674025">
        <w:rPr>
          <w:color w:val="000000" w:themeColor="text1"/>
          <w:sz w:val="28"/>
          <w:szCs w:val="28"/>
          <w:lang w:val="en-US"/>
        </w:rPr>
        <w:t>Q</w:t>
      </w:r>
      <w:r w:rsidRPr="00674025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674025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674025">
        <w:rPr>
          <w:color w:val="000000" w:themeColor="text1"/>
          <w:sz w:val="28"/>
          <w:szCs w:val="28"/>
        </w:rPr>
        <w:t>5</w:t>
      </w:r>
      <w:r w:rsidRPr="00674025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34C34E8E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3A97B9F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6DC8F455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3F209389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524415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5C0AC659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46833AD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4D2B6D" w:rsidRPr="00674025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674025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2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4521FE7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674025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674025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67402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5F4847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Pr="00BF585B">
        <w:rPr>
          <w:strike/>
          <w:color w:val="000000" w:themeColor="text1"/>
          <w:sz w:val="28"/>
          <w:szCs w:val="28"/>
        </w:rPr>
        <w:t>лабораторных</w:t>
      </w:r>
      <w:r w:rsidRPr="00674025">
        <w:rPr>
          <w:color w:val="000000" w:themeColor="text1"/>
          <w:sz w:val="28"/>
          <w:szCs w:val="28"/>
        </w:rPr>
        <w:t xml:space="preserve"> </w:t>
      </w:r>
      <w:proofErr w:type="spellStart"/>
      <w:r w:rsidR="00BF585B" w:rsidRPr="00C02B9C">
        <w:rPr>
          <w:color w:val="000000" w:themeColor="text1"/>
          <w:sz w:val="28"/>
        </w:rPr>
        <w:t>лабораторны</w:t>
      </w:r>
      <w:r w:rsidR="00BF585B">
        <w:rPr>
          <w:color w:val="000000" w:themeColor="text1"/>
          <w:sz w:val="28"/>
        </w:rPr>
        <w:t>х</w:t>
      </w:r>
      <w:proofErr w:type="spellEnd"/>
      <w:r w:rsidR="00BF585B" w:rsidRPr="00C02B9C">
        <w:rPr>
          <w:color w:val="000000" w:themeColor="text1"/>
          <w:sz w:val="28"/>
        </w:rPr>
        <w:t xml:space="preserve"> и ины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диагностически</w:t>
      </w:r>
      <w:r w:rsidR="00BF585B">
        <w:rPr>
          <w:color w:val="000000" w:themeColor="text1"/>
          <w:sz w:val="28"/>
        </w:rPr>
        <w:t>х</w:t>
      </w:r>
      <w:r w:rsidR="00BF585B">
        <w:rPr>
          <w:rStyle w:val="ab"/>
          <w:color w:val="000000" w:themeColor="text1"/>
          <w:sz w:val="28"/>
        </w:rPr>
        <w:footnoteReference w:id="1"/>
      </w:r>
      <w:r w:rsidR="00BF585B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4FF86175" w14:textId="77777777" w:rsidR="00BF585B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BF585B">
        <w:rPr>
          <w:color w:val="000000" w:themeColor="text1"/>
          <w:sz w:val="28"/>
          <w:szCs w:val="28"/>
        </w:rPr>
        <w:t>;</w:t>
      </w:r>
    </w:p>
    <w:p w14:paraId="2C59F307" w14:textId="565CE218" w:rsidR="00DD64B7" w:rsidRPr="00BF585B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Правилам.</w:t>
      </w:r>
      <w:r>
        <w:rPr>
          <w:rStyle w:val="ab"/>
          <w:color w:val="000000" w:themeColor="text1"/>
          <w:sz w:val="28"/>
        </w:rPr>
        <w:footnoteReference w:id="2"/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162C9C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2"/>
    <w:p w14:paraId="194C3DEB" w14:textId="359D5FA1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4D2B6D" w:rsidRPr="00674025">
        <w:rPr>
          <w:color w:val="000000" w:themeColor="text1"/>
          <w:sz w:val="28"/>
        </w:rPr>
        <w:t>2024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1BEF815B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0B789D41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lastRenderedPageBreak/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 xml:space="preserve">при сверке </w:t>
      </w:r>
      <w:r w:rsidR="003B55E0" w:rsidRPr="00BF585B">
        <w:rPr>
          <w:strike/>
          <w:color w:val="000000" w:themeColor="text1"/>
          <w:sz w:val="28"/>
        </w:rPr>
        <w:t>лабораторных</w:t>
      </w:r>
      <w:r w:rsidR="003B55E0"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b"/>
          <w:color w:val="000000" w:themeColor="text1"/>
          <w:sz w:val="28"/>
        </w:rPr>
        <w:footnoteReference w:id="3"/>
      </w:r>
      <w:r w:rsidR="00BF585B">
        <w:rPr>
          <w:color w:val="000000" w:themeColor="text1"/>
          <w:sz w:val="28"/>
        </w:rPr>
        <w:t xml:space="preserve"> </w:t>
      </w:r>
      <w:r w:rsidR="003B55E0" w:rsidRPr="0067402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674025">
        <w:rPr>
          <w:color w:val="000000" w:themeColor="text1"/>
          <w:sz w:val="28"/>
        </w:rPr>
        <w:t>фондодержателями</w:t>
      </w:r>
      <w:proofErr w:type="spellEnd"/>
      <w:r w:rsidR="00AA2802" w:rsidRPr="00674025">
        <w:rPr>
          <w:color w:val="000000" w:themeColor="text1"/>
          <w:sz w:val="28"/>
        </w:rPr>
        <w:t xml:space="preserve">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674025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3" w:name="_Hlk533062323"/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>.</w:t>
      </w:r>
      <w:r w:rsidR="00FB690F" w:rsidRPr="00674025">
        <w:rPr>
          <w:b/>
          <w:color w:val="000000" w:themeColor="text1"/>
          <w:sz w:val="28"/>
        </w:rPr>
        <w:t xml:space="preserve"> </w:t>
      </w:r>
      <w:bookmarkEnd w:id="3"/>
      <w:r w:rsidR="00FB690F" w:rsidRPr="00674025">
        <w:rPr>
          <w:color w:val="000000" w:themeColor="text1"/>
          <w:sz w:val="28"/>
          <w:szCs w:val="28"/>
        </w:rPr>
        <w:t>При заполнении реестра счета</w:t>
      </w:r>
      <w:r w:rsidRPr="00674025">
        <w:rPr>
          <w:color w:val="000000" w:themeColor="text1"/>
          <w:sz w:val="28"/>
          <w:szCs w:val="28"/>
        </w:rPr>
        <w:t xml:space="preserve"> в связи с </w:t>
      </w:r>
      <w:r w:rsidRPr="0067402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674025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NPR</w:t>
      </w:r>
      <w:r w:rsidR="00FB690F" w:rsidRPr="00674025">
        <w:rPr>
          <w:color w:val="000000" w:themeColor="text1"/>
          <w:sz w:val="28"/>
          <w:szCs w:val="28"/>
        </w:rPr>
        <w:t>_</w:t>
      </w:r>
      <w:r w:rsidR="00FB690F" w:rsidRPr="00674025">
        <w:rPr>
          <w:color w:val="000000" w:themeColor="text1"/>
          <w:sz w:val="28"/>
          <w:szCs w:val="28"/>
          <w:lang w:val="en-US"/>
        </w:rPr>
        <w:t>MO</w:t>
      </w:r>
      <w:r w:rsidR="00FB690F" w:rsidRPr="00674025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4.5.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674025">
        <w:rPr>
          <w:color w:val="000000" w:themeColor="text1"/>
          <w:sz w:val="28"/>
        </w:rPr>
        <w:t>полисомнографии</w:t>
      </w:r>
      <w:proofErr w:type="spellEnd"/>
      <w:r w:rsidRPr="0067402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16B1A17E" w:rsidR="00FB690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4.6. При формировании реестров счетов на оплату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b"/>
          <w:color w:val="000000" w:themeColor="text1"/>
          <w:sz w:val="28"/>
        </w:rPr>
        <w:footnoteReference w:id="4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исследований, проведенных в соответствии с пунктом 3.3.3 Соглашения № 1/202</w:t>
      </w:r>
      <w:r w:rsidR="00D62D00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 значение элемента «DATE_IN» и «DATE_1» для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b"/>
          <w:color w:val="000000" w:themeColor="text1"/>
          <w:sz w:val="28"/>
        </w:rPr>
        <w:footnoteReference w:id="5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77777777" w:rsidR="00A570A2" w:rsidRDefault="00A570A2" w:rsidP="00A570A2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4.7. Установить, что при формировании направления на диагностические исследования, проводимые в соответствии с пунктом 3.3.3 Соглашения № 1/2024, </w:t>
      </w:r>
      <w:r w:rsidRPr="000B4392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ая</w:t>
      </w:r>
      <w:r w:rsidRPr="000B4392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я</w:t>
      </w:r>
      <w:r w:rsidRPr="000B4392">
        <w:rPr>
          <w:color w:val="000000" w:themeColor="text1"/>
          <w:sz w:val="28"/>
        </w:rPr>
        <w:t>-</w:t>
      </w:r>
      <w:proofErr w:type="spellStart"/>
      <w:r w:rsidRPr="000B4392">
        <w:rPr>
          <w:color w:val="000000" w:themeColor="text1"/>
          <w:sz w:val="28"/>
        </w:rPr>
        <w:t>фондодержател</w:t>
      </w:r>
      <w:r>
        <w:rPr>
          <w:color w:val="000000" w:themeColor="text1"/>
          <w:sz w:val="28"/>
        </w:rPr>
        <w:t>ь</w:t>
      </w:r>
      <w:proofErr w:type="spellEnd"/>
      <w:r>
        <w:rPr>
          <w:color w:val="000000" w:themeColor="text1"/>
          <w:sz w:val="28"/>
        </w:rPr>
        <w:t xml:space="preserve"> </w:t>
      </w:r>
      <w:r w:rsidRPr="00501AD8">
        <w:rPr>
          <w:color w:val="000000" w:themeColor="text1"/>
          <w:sz w:val="28"/>
        </w:rPr>
        <w:t>обраща</w:t>
      </w:r>
      <w:r>
        <w:rPr>
          <w:color w:val="000000" w:themeColor="text1"/>
          <w:sz w:val="28"/>
        </w:rPr>
        <w:t>е</w:t>
      </w:r>
      <w:r w:rsidRPr="00501AD8">
        <w:rPr>
          <w:color w:val="000000" w:themeColor="text1"/>
          <w:sz w:val="28"/>
        </w:rPr>
        <w:t>тся в единый регистр застрахованных лиц в целях</w:t>
      </w:r>
      <w:r>
        <w:rPr>
          <w:color w:val="000000" w:themeColor="text1"/>
          <w:sz w:val="28"/>
        </w:rPr>
        <w:t>:</w:t>
      </w:r>
    </w:p>
    <w:p w14:paraId="65B7FBCC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а) </w:t>
      </w:r>
      <w:r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ответственной за оплату счета (в части медицинской помощи, оказанной региональной медицинской организацией);</w:t>
      </w:r>
    </w:p>
    <w:p w14:paraId="64179CE0" w14:textId="20A15B9F" w:rsidR="00A570A2" w:rsidRPr="00501AD8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  <w:r>
        <w:rPr>
          <w:rStyle w:val="ab"/>
          <w:rFonts w:eastAsiaTheme="minorHAnsi"/>
          <w:sz w:val="28"/>
          <w:szCs w:val="28"/>
          <w:lang w:eastAsia="en-US"/>
        </w:rPr>
        <w:footnoteReference w:id="6"/>
      </w:r>
    </w:p>
    <w:p w14:paraId="378D0CC8" w14:textId="77777777" w:rsidR="00A570A2" w:rsidRPr="0067402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3D7150AB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E23343">
        <w:tc>
          <w:tcPr>
            <w:tcW w:w="648" w:type="dxa"/>
          </w:tcPr>
          <w:p w14:paraId="0A9FCE9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E23343">
        <w:tc>
          <w:tcPr>
            <w:tcW w:w="648" w:type="dxa"/>
          </w:tcPr>
          <w:p w14:paraId="66957476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674025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67402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41DF48E" w:rsidR="00817380" w:rsidRPr="00674025" w:rsidRDefault="00817380" w:rsidP="00E23343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4D2B6D" w:rsidRPr="00674025">
              <w:rPr>
                <w:color w:val="000000" w:themeColor="text1"/>
              </w:rPr>
              <w:t>2024</w:t>
            </w:r>
          </w:p>
        </w:tc>
      </w:tr>
      <w:tr w:rsidR="00674025" w:rsidRPr="00674025" w14:paraId="27C2CA6F" w14:textId="77777777" w:rsidTr="00E23343">
        <w:tc>
          <w:tcPr>
            <w:tcW w:w="648" w:type="dxa"/>
          </w:tcPr>
          <w:p w14:paraId="5708593E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5747CFB8" w:rsidR="00817380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</w:p>
        </w:tc>
      </w:tr>
      <w:tr w:rsidR="00674025" w:rsidRPr="00674025" w14:paraId="02C1C338" w14:textId="77777777" w:rsidTr="00E23343">
        <w:tc>
          <w:tcPr>
            <w:tcW w:w="648" w:type="dxa"/>
          </w:tcPr>
          <w:p w14:paraId="797A3EB7" w14:textId="423E8B7C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E23343">
        <w:tc>
          <w:tcPr>
            <w:tcW w:w="648" w:type="dxa"/>
          </w:tcPr>
          <w:p w14:paraId="210669F9" w14:textId="341FB68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77263611" w14:textId="77777777" w:rsidTr="00E23343">
        <w:tc>
          <w:tcPr>
            <w:tcW w:w="648" w:type="dxa"/>
          </w:tcPr>
          <w:p w14:paraId="76DCC7E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</w:t>
            </w:r>
            <w:r w:rsidRPr="00674025">
              <w:rPr>
                <w:color w:val="000000" w:themeColor="text1"/>
              </w:rPr>
              <w:lastRenderedPageBreak/>
              <w:t xml:space="preserve">обследования в Центре здоровья  </w:t>
            </w:r>
          </w:p>
        </w:tc>
      </w:tr>
      <w:tr w:rsidR="00674025" w:rsidRPr="00674025" w14:paraId="331A6B7D" w14:textId="77777777" w:rsidTr="00E23343">
        <w:tc>
          <w:tcPr>
            <w:tcW w:w="648" w:type="dxa"/>
          </w:tcPr>
          <w:p w14:paraId="0FF5224A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lastRenderedPageBreak/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E23343">
        <w:tc>
          <w:tcPr>
            <w:tcW w:w="648" w:type="dxa"/>
          </w:tcPr>
          <w:p w14:paraId="179A633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674025">
              <w:rPr>
                <w:color w:val="000000" w:themeColor="text1"/>
              </w:rPr>
              <w:t>);  профилактический</w:t>
            </w:r>
            <w:proofErr w:type="gramEnd"/>
            <w:r w:rsidRPr="0067402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E23343">
        <w:tc>
          <w:tcPr>
            <w:tcW w:w="648" w:type="dxa"/>
          </w:tcPr>
          <w:p w14:paraId="5193FE2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E23343">
        <w:tc>
          <w:tcPr>
            <w:tcW w:w="648" w:type="dxa"/>
          </w:tcPr>
          <w:p w14:paraId="0D3ABFD9" w14:textId="0B94E66F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674025" w:rsidRPr="00674025" w14:paraId="113B7275" w14:textId="77777777" w:rsidTr="00E23343">
        <w:tc>
          <w:tcPr>
            <w:tcW w:w="648" w:type="dxa"/>
          </w:tcPr>
          <w:p w14:paraId="28241C92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E23343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E23343">
        <w:tc>
          <w:tcPr>
            <w:tcW w:w="648" w:type="dxa"/>
          </w:tcPr>
          <w:p w14:paraId="30A2B75D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E23343">
        <w:tc>
          <w:tcPr>
            <w:tcW w:w="648" w:type="dxa"/>
          </w:tcPr>
          <w:p w14:paraId="0C8BDB19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E23343">
        <w:tc>
          <w:tcPr>
            <w:tcW w:w="648" w:type="dxa"/>
          </w:tcPr>
          <w:p w14:paraId="36403306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E23343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E23343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E23343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E23343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E23343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с кратностью не менее двух посещений по поводу одного заболевания по направлениям, </w:t>
            </w:r>
            <w:r w:rsidRPr="00674025">
              <w:rPr>
                <w:color w:val="000000" w:themeColor="text1"/>
              </w:rPr>
              <w:lastRenderedPageBreak/>
              <w:t>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E23343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lastRenderedPageBreak/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6F6C221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  <w:r>
              <w:rPr>
                <w:rStyle w:val="ab"/>
                <w:color w:val="000000" w:themeColor="text1"/>
              </w:rPr>
              <w:footnoteReference w:id="7"/>
            </w:r>
          </w:p>
        </w:tc>
      </w:tr>
      <w:tr w:rsidR="00DA3954" w:rsidRPr="00674025" w14:paraId="53CC18B9" w14:textId="77777777" w:rsidTr="00E23343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17D88B4B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экспертизу</w:t>
            </w:r>
            <w:r>
              <w:rPr>
                <w:vertAlign w:val="superscript"/>
              </w:rPr>
              <w:t>1</w:t>
            </w:r>
          </w:p>
        </w:tc>
      </w:tr>
      <w:tr w:rsidR="00A570A2" w:rsidRPr="00674025" w14:paraId="09787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17EBBC5" w14:textId="77777777" w:rsidR="00A570A2" w:rsidRPr="000C5145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5400" w:type="dxa"/>
          </w:tcPr>
          <w:p w14:paraId="15F649FD" w14:textId="77777777" w:rsidR="00A570A2" w:rsidRPr="00674025" w:rsidRDefault="00A570A2" w:rsidP="00116FEB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24812516" w14:textId="77777777" w:rsidR="00A570A2" w:rsidRPr="00674025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фельдшера </w:t>
            </w:r>
            <w:r w:rsidRPr="002F6BE1">
              <w:rPr>
                <w:color w:val="000000" w:themeColor="text1"/>
              </w:rPr>
              <w:t>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>
              <w:rPr>
                <w:color w:val="000000" w:themeColor="text1"/>
              </w:rPr>
              <w:t xml:space="preserve"> в </w:t>
            </w:r>
            <w:r w:rsidRPr="002F6BE1">
              <w:rPr>
                <w:color w:val="000000" w:themeColor="text1"/>
              </w:rPr>
              <w:t>фельдшерски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здравпункта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и фельдшерско-акушерски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женщинам</w:t>
            </w:r>
            <w:r>
              <w:rPr>
                <w:color w:val="000000" w:themeColor="text1"/>
              </w:rPr>
              <w:t>и</w:t>
            </w:r>
            <w:r w:rsidRPr="002F6BE1">
              <w:rPr>
                <w:color w:val="000000" w:themeColor="text1"/>
              </w:rPr>
              <w:t xml:space="preserve"> репродуктивного возраста, при отсутствии в указанных пунктах акушеров</w:t>
            </w:r>
          </w:p>
        </w:tc>
      </w:tr>
      <w:tr w:rsidR="00A570A2" w:rsidRPr="005975B9" w14:paraId="2ED4E7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E5F87A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61E486D5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17157FCF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83239C">
              <w:rPr>
                <w:color w:val="000000" w:themeColor="text1"/>
              </w:rPr>
              <w:t>медицинск</w:t>
            </w:r>
            <w:r>
              <w:rPr>
                <w:color w:val="000000" w:themeColor="text1"/>
              </w:rPr>
              <w:t>ая</w:t>
            </w:r>
            <w:r w:rsidRPr="0083239C">
              <w:rPr>
                <w:color w:val="000000" w:themeColor="text1"/>
              </w:rPr>
              <w:t xml:space="preserve"> помощ</w:t>
            </w:r>
            <w:r>
              <w:rPr>
                <w:color w:val="000000" w:themeColor="text1"/>
              </w:rPr>
              <w:t>ь</w:t>
            </w:r>
            <w:r w:rsidRPr="0083239C">
              <w:rPr>
                <w:color w:val="000000" w:themeColor="text1"/>
              </w:rPr>
              <w:t xml:space="preserve"> по медицинской реабилитации </w:t>
            </w:r>
            <w:r>
              <w:rPr>
                <w:color w:val="000000" w:themeColor="text1"/>
              </w:rPr>
              <w:t xml:space="preserve">на дому </w:t>
            </w:r>
            <w:r w:rsidRPr="0083239C">
              <w:rPr>
                <w:color w:val="000000" w:themeColor="text1"/>
              </w:rPr>
              <w:t>(комплексное посещение)</w:t>
            </w:r>
          </w:p>
        </w:tc>
      </w:tr>
      <w:tr w:rsidR="00A570A2" w:rsidRPr="005975B9" w14:paraId="0800A822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38B9D97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5400" w:type="dxa"/>
          </w:tcPr>
          <w:p w14:paraId="4CD8DDC2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36C03D69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115486">
              <w:rPr>
                <w:color w:val="000000" w:themeColor="text1"/>
              </w:rPr>
      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A570A2" w:rsidRPr="005975B9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5975B9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Default="00A570A2" w:rsidP="00116FEB">
            <w:pPr>
              <w:rPr>
                <w:color w:val="000000" w:themeColor="text1"/>
              </w:rPr>
            </w:pPr>
            <w:bookmarkStart w:id="4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4"/>
          </w:p>
        </w:tc>
        <w:tc>
          <w:tcPr>
            <w:tcW w:w="3416" w:type="dxa"/>
          </w:tcPr>
          <w:p w14:paraId="0B31EF15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Default="00A570A2" w:rsidP="00116FE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2D54662D" w:rsidR="00A570A2" w:rsidRPr="005975B9" w:rsidRDefault="00A570A2" w:rsidP="00116FEB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  <w:r>
              <w:rPr>
                <w:rStyle w:val="ab"/>
                <w:color w:val="000000" w:themeColor="text1"/>
              </w:rPr>
              <w:footnoteReference w:id="8"/>
            </w:r>
          </w:p>
        </w:tc>
      </w:tr>
    </w:tbl>
    <w:p w14:paraId="0222BC5C" w14:textId="77777777" w:rsidR="00A570A2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lastRenderedPageBreak/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4815EC9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674025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7</w:t>
      </w:r>
      <w:r w:rsidR="00FD1A26" w:rsidRPr="00674025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674025">
        <w:rPr>
          <w:color w:val="000000" w:themeColor="text1"/>
          <w:sz w:val="28"/>
        </w:rPr>
        <w:t>от новой коронавирусной инфекции COVID-19»</w:t>
      </w:r>
      <w:r w:rsidR="00167DEC" w:rsidRPr="00674025">
        <w:rPr>
          <w:color w:val="000000" w:themeColor="text1"/>
          <w:sz w:val="28"/>
        </w:rPr>
        <w:t>;</w:t>
      </w:r>
    </w:p>
    <w:p w14:paraId="260285BD" w14:textId="0C21A377" w:rsidR="00167DEC" w:rsidRPr="00674025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8) при проведении диспансеризации взрослого населения в</w:t>
      </w:r>
      <w:r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 w:rsidRPr="00674025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674025">
        <w:rPr>
          <w:color w:val="000000" w:themeColor="text1"/>
          <w:sz w:val="28"/>
        </w:rPr>
        <w:t>иммунотурбодиметрический</w:t>
      </w:r>
      <w:proofErr w:type="spellEnd"/>
      <w:r w:rsidRPr="00674025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0CAE3A11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A570A2">
        <w:rPr>
          <w:rStyle w:val="ab"/>
          <w:color w:val="000000" w:themeColor="text1"/>
          <w:sz w:val="28"/>
        </w:rPr>
        <w:footnoteReference w:id="9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1827F1C7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</w:t>
      </w:r>
      <w:r w:rsidRPr="00674025">
        <w:rPr>
          <w:color w:val="000000" w:themeColor="text1"/>
          <w:sz w:val="28"/>
        </w:rPr>
        <w:lastRenderedPageBreak/>
        <w:t xml:space="preserve">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674025">
        <w:rPr>
          <w:color w:val="000000" w:themeColor="text1"/>
          <w:sz w:val="28"/>
        </w:rPr>
        <w:t>простатспецифического</w:t>
      </w:r>
      <w:proofErr w:type="spellEnd"/>
      <w:r w:rsidRPr="0067402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>
        <w:rPr>
          <w:color w:val="000000" w:themeColor="text1"/>
          <w:sz w:val="28"/>
        </w:rPr>
        <w:t xml:space="preserve"> </w:t>
      </w:r>
      <w:r w:rsidR="00A570A2" w:rsidRPr="00A570A2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A570A2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A570A2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A570A2">
        <w:rPr>
          <w:color w:val="000000" w:themeColor="text1"/>
          <w:sz w:val="28"/>
        </w:rPr>
        <w:t>димера</w:t>
      </w:r>
      <w:proofErr w:type="spellEnd"/>
      <w:r w:rsidR="00A570A2" w:rsidRPr="00A570A2">
        <w:rPr>
          <w:color w:val="000000" w:themeColor="text1"/>
          <w:sz w:val="28"/>
        </w:rPr>
        <w:t xml:space="preserve"> в крови»</w:t>
      </w:r>
      <w:r w:rsidR="00C426C4">
        <w:rPr>
          <w:rStyle w:val="ab"/>
          <w:color w:val="000000" w:themeColor="text1"/>
          <w:sz w:val="28"/>
        </w:rPr>
        <w:footnoteReference w:id="10"/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3C6343D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b"/>
          <w:color w:val="000000" w:themeColor="text1"/>
          <w:sz w:val="28"/>
        </w:rPr>
        <w:footnoteReference w:id="11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F05ABF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</w:t>
      </w:r>
      <w:r w:rsidRPr="00BF585B">
        <w:rPr>
          <w:strike/>
          <w:color w:val="000000" w:themeColor="text1"/>
          <w:sz w:val="28"/>
        </w:rPr>
        <w:t>лабораторных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лабораторных</w:t>
      </w:r>
      <w:proofErr w:type="spellEnd"/>
      <w:r w:rsidR="00BF585B">
        <w:rPr>
          <w:color w:val="000000" w:themeColor="text1"/>
          <w:sz w:val="28"/>
        </w:rPr>
        <w:t xml:space="preserve"> и иных</w:t>
      </w:r>
      <w:r w:rsidR="00BF585B">
        <w:rPr>
          <w:rStyle w:val="ab"/>
          <w:color w:val="000000" w:themeColor="text1"/>
          <w:sz w:val="28"/>
        </w:rPr>
        <w:footnoteReference w:id="12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Pr="00BF585B">
        <w:rPr>
          <w:strike/>
          <w:color w:val="000000" w:themeColor="text1"/>
          <w:sz w:val="28"/>
        </w:rPr>
        <w:t>лабораторные</w:t>
      </w:r>
      <w:r w:rsidRPr="00674025">
        <w:rPr>
          <w:color w:val="000000" w:themeColor="text1"/>
          <w:sz w:val="28"/>
        </w:rPr>
        <w:t xml:space="preserve"> </w:t>
      </w:r>
      <w:proofErr w:type="spellStart"/>
      <w:r w:rsidR="00BF585B">
        <w:rPr>
          <w:color w:val="000000" w:themeColor="text1"/>
          <w:sz w:val="28"/>
        </w:rPr>
        <w:t>лабораторные</w:t>
      </w:r>
      <w:proofErr w:type="spellEnd"/>
      <w:r w:rsidR="00BF585B">
        <w:rPr>
          <w:color w:val="000000" w:themeColor="text1"/>
          <w:sz w:val="28"/>
        </w:rPr>
        <w:t xml:space="preserve"> и иные</w:t>
      </w:r>
      <w:r w:rsidR="00BF585B">
        <w:rPr>
          <w:rStyle w:val="ab"/>
          <w:color w:val="000000" w:themeColor="text1"/>
          <w:sz w:val="28"/>
        </w:rPr>
        <w:footnoteReference w:id="13"/>
      </w:r>
      <w:r w:rsidR="00BF585B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</w:t>
      </w:r>
      <w:r w:rsidRPr="00674025">
        <w:rPr>
          <w:color w:val="000000" w:themeColor="text1"/>
          <w:sz w:val="28"/>
          <w:szCs w:val="28"/>
        </w:rPr>
        <w:lastRenderedPageBreak/>
        <w:t>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15324D0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bookmarkStart w:id="5" w:name="_Hlk167872504"/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</w:t>
      </w:r>
      <w:bookmarkEnd w:id="5"/>
      <w:r w:rsidR="00C21EE7" w:rsidRPr="00A273E4">
        <w:rPr>
          <w:color w:val="000000" w:themeColor="text1"/>
          <w:sz w:val="28"/>
          <w:szCs w:val="28"/>
        </w:rPr>
        <w:t>»</w:t>
      </w:r>
      <w:r w:rsidR="00C21EE7">
        <w:rPr>
          <w:rStyle w:val="ab"/>
          <w:color w:val="000000" w:themeColor="text1"/>
          <w:sz w:val="28"/>
          <w:szCs w:val="28"/>
        </w:rPr>
        <w:footnoteReference w:id="14"/>
      </w:r>
      <w:r w:rsidRPr="0067402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307E917F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  <w:r w:rsidR="00D22182" w:rsidRPr="00D22182">
        <w:t xml:space="preserve"> </w:t>
      </w:r>
      <w:r w:rsidR="00D22182" w:rsidRPr="00D22182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</w:t>
      </w:r>
      <w:r w:rsidR="00D22182">
        <w:rPr>
          <w:rStyle w:val="ab"/>
          <w:color w:val="000000" w:themeColor="text1"/>
          <w:sz w:val="28"/>
          <w:szCs w:val="28"/>
        </w:rPr>
        <w:footnoteReference w:id="15"/>
      </w:r>
    </w:p>
    <w:p w14:paraId="03E8B574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674025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38FA35C2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 w:rsidRPr="00C21EE7">
        <w:rPr>
          <w:color w:val="000000" w:themeColor="text1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«1»</w:t>
      </w:r>
      <w:r w:rsidR="00C21EE7">
        <w:rPr>
          <w:rStyle w:val="ab"/>
          <w:color w:val="000000" w:themeColor="text1"/>
          <w:sz w:val="28"/>
          <w:szCs w:val="28"/>
        </w:rPr>
        <w:footnoteReference w:id="16"/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674025">
        <w:rPr>
          <w:color w:val="000000" w:themeColor="text1"/>
          <w:sz w:val="28"/>
          <w:szCs w:val="28"/>
        </w:rPr>
        <w:t>virgo</w:t>
      </w:r>
      <w:proofErr w:type="spellEnd"/>
      <w:r w:rsidRPr="0067402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6" w:name="_Hlk168321090"/>
      <w:r w:rsidRPr="0067402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6"/>
      <w:r w:rsidRPr="0067402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2BAD233F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b"/>
          <w:color w:val="000000" w:themeColor="text1"/>
          <w:sz w:val="28"/>
          <w:szCs w:val="28"/>
        </w:rPr>
        <w:footnoteReference w:id="17"/>
      </w:r>
      <w:r w:rsidR="00C21EE7">
        <w:rPr>
          <w:color w:val="000000" w:themeColor="text1"/>
          <w:sz w:val="28"/>
          <w:szCs w:val="28"/>
        </w:rPr>
        <w:t>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519099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C21EE7">
        <w:rPr>
          <w:strike/>
          <w:color w:val="000000" w:themeColor="text1"/>
          <w:sz w:val="28"/>
          <w:szCs w:val="28"/>
        </w:rPr>
        <w:t>с указанием в поле «COMENTU» слова «ОТКАЗ»</w:t>
      </w:r>
      <w:r w:rsidR="00C21EE7">
        <w:rPr>
          <w:color w:val="000000" w:themeColor="text1"/>
          <w:sz w:val="28"/>
          <w:szCs w:val="28"/>
        </w:rPr>
        <w:t xml:space="preserve">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rStyle w:val="ab"/>
          <w:color w:val="000000" w:themeColor="text1"/>
          <w:sz w:val="28"/>
          <w:szCs w:val="28"/>
        </w:rPr>
        <w:footnoteReference w:id="18"/>
      </w:r>
      <w:r w:rsidR="00C21EE7">
        <w:rPr>
          <w:color w:val="000000" w:themeColor="text1"/>
          <w:sz w:val="28"/>
          <w:szCs w:val="28"/>
        </w:rPr>
        <w:t>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65D059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Pr="00D22182">
        <w:rPr>
          <w:strike/>
          <w:color w:val="000000" w:themeColor="text1"/>
          <w:sz w:val="28"/>
          <w:szCs w:val="28"/>
        </w:rPr>
        <w:t>ДВ1</w:t>
      </w:r>
      <w:r w:rsidR="00D22182" w:rsidRPr="00D22182">
        <w:rPr>
          <w:color w:val="000000" w:themeColor="text1"/>
          <w:sz w:val="28"/>
          <w:szCs w:val="28"/>
        </w:rPr>
        <w:t xml:space="preserve"> </w:t>
      </w:r>
      <w:r w:rsidR="00D22182" w:rsidRPr="00EF2538">
        <w:rPr>
          <w:color w:val="000000" w:themeColor="text1"/>
          <w:sz w:val="28"/>
          <w:szCs w:val="28"/>
        </w:rPr>
        <w:t>ДВ4</w:t>
      </w:r>
      <w:r w:rsidR="00D22182">
        <w:rPr>
          <w:rStyle w:val="ab"/>
          <w:color w:val="000000" w:themeColor="text1"/>
          <w:sz w:val="28"/>
          <w:szCs w:val="28"/>
        </w:rPr>
        <w:footnoteReference w:id="19"/>
      </w:r>
      <w:r w:rsidRPr="0067402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67402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</w:t>
      </w:r>
      <w:r w:rsidRPr="00674025">
        <w:rPr>
          <w:color w:val="000000" w:themeColor="text1"/>
          <w:sz w:val="28"/>
          <w:szCs w:val="28"/>
        </w:rPr>
        <w:lastRenderedPageBreak/>
        <w:t>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1C374A20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 xml:space="preserve">1) ГБУЗ «Камчатский краевой родильный дом» в течение месяца направляет в медицинскую организацию, к которой прикреплено </w:t>
      </w:r>
      <w:r w:rsidRPr="00D22182">
        <w:rPr>
          <w:color w:val="000000" w:themeColor="text1"/>
          <w:sz w:val="28"/>
          <w:szCs w:val="28"/>
        </w:rPr>
        <w:lastRenderedPageBreak/>
        <w:t>застрахованное лицо, сведения о проведенной диспансеризации для оценки репродуктивного здоровья женщин с указанием перечня проведенных исследований;</w:t>
      </w:r>
    </w:p>
    <w:p w14:paraId="24BCC396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 xml:space="preserve"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 в рамках диспансеризации для оценки репродуктивного здоровья женщин по тарифам, установленным в соответствии с приложением № 2.6 к Соглашению № 1/2024. Для указанных услуг в рамках диспансеризации для оценки репродуктивного здоровья женщин значение элемента «P_CEL» = 6.4;</w:t>
      </w:r>
    </w:p>
    <w:p w14:paraId="65513C09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4) страховая медицинская организация оплачивает исследования,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21534EF" w14:textId="73859952" w:rsidR="00D22182" w:rsidRPr="0067402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Оплата страховой медицинской организацией исследований,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 в рамках диспансеризации для оценки репродуктивного здоровья женщин,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  <w:r>
        <w:rPr>
          <w:rStyle w:val="ab"/>
          <w:color w:val="000000" w:themeColor="text1"/>
          <w:sz w:val="28"/>
          <w:szCs w:val="28"/>
        </w:rPr>
        <w:footnoteReference w:id="20"/>
      </w:r>
    </w:p>
    <w:p w14:paraId="66B82040" w14:textId="77777777" w:rsidR="005413D7" w:rsidRPr="00674025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674025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 xml:space="preserve"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</w:t>
      </w:r>
      <w:r w:rsidR="00FB690F" w:rsidRPr="00674025">
        <w:rPr>
          <w:color w:val="000000" w:themeColor="text1"/>
          <w:sz w:val="28"/>
        </w:rPr>
        <w:lastRenderedPageBreak/>
        <w:t>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674025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P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CEL</w:t>
      </w:r>
      <w:r w:rsidRPr="00674025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7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7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38863B6E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 xml:space="preserve">значение элемента </w:t>
      </w:r>
      <w:r w:rsidR="00BE082F" w:rsidRPr="00674025">
        <w:rPr>
          <w:color w:val="000000" w:themeColor="text1"/>
          <w:sz w:val="28"/>
          <w:szCs w:val="28"/>
        </w:rPr>
        <w:lastRenderedPageBreak/>
        <w:t>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</w:t>
      </w:r>
      <w:r w:rsidR="00660ABD" w:rsidRPr="00674025">
        <w:rPr>
          <w:color w:val="000000" w:themeColor="text1"/>
          <w:sz w:val="28"/>
          <w:szCs w:val="28"/>
        </w:rPr>
        <w:lastRenderedPageBreak/>
        <w:t xml:space="preserve">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674025">
        <w:rPr>
          <w:color w:val="000000" w:themeColor="text1"/>
          <w:sz w:val="28"/>
        </w:rPr>
        <w:t>межучрежденческих</w:t>
      </w:r>
      <w:proofErr w:type="spellEnd"/>
      <w:r w:rsidR="00660ABD" w:rsidRPr="00674025">
        <w:rPr>
          <w:color w:val="000000" w:themeColor="text1"/>
          <w:sz w:val="28"/>
        </w:rPr>
        <w:t xml:space="preserve"> расчетов.</w:t>
      </w:r>
    </w:p>
    <w:p w14:paraId="16A53F77" w14:textId="6162017F" w:rsidR="00660ABD" w:rsidRDefault="009A4703" w:rsidP="009A470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8) при включении в счет и реестр счета случаев проведения медицинской реабилитации в амбулаторных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</w:t>
      </w:r>
      <w:r w:rsidR="007E722F">
        <w:rPr>
          <w:color w:val="000000" w:themeColor="text1"/>
          <w:sz w:val="28"/>
        </w:rPr>
        <w:t>.</w:t>
      </w:r>
    </w:p>
    <w:p w14:paraId="433E3313" w14:textId="77777777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9)</w:t>
      </w:r>
      <w:r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Pr="008C393F">
        <w:rPr>
          <w:color w:val="000000" w:themeColor="text1"/>
          <w:sz w:val="28"/>
        </w:rPr>
        <w:t>оформлени</w:t>
      </w:r>
      <w:r>
        <w:rPr>
          <w:color w:val="000000" w:themeColor="text1"/>
          <w:sz w:val="28"/>
        </w:rPr>
        <w:t>ем</w:t>
      </w:r>
      <w:r w:rsidRPr="008C393F">
        <w:rPr>
          <w:color w:val="000000" w:themeColor="text1"/>
          <w:sz w:val="28"/>
        </w:rPr>
        <w:t xml:space="preserve"> направления на </w:t>
      </w:r>
      <w:r>
        <w:rPr>
          <w:color w:val="000000" w:themeColor="text1"/>
          <w:sz w:val="28"/>
        </w:rPr>
        <w:t xml:space="preserve">медико-социальную экспертизу (далее – </w:t>
      </w:r>
      <w:r w:rsidRPr="008C393F">
        <w:rPr>
          <w:color w:val="000000" w:themeColor="text1"/>
          <w:sz w:val="28"/>
        </w:rPr>
        <w:t>МСЭ</w:t>
      </w:r>
      <w:r>
        <w:rPr>
          <w:color w:val="000000" w:themeColor="text1"/>
          <w:sz w:val="28"/>
        </w:rPr>
        <w:t>),</w:t>
      </w:r>
      <w:r w:rsidRPr="008C393F">
        <w:rPr>
          <w:color w:val="000000" w:themeColor="text1"/>
          <w:sz w:val="28"/>
        </w:rPr>
        <w:t xml:space="preserve"> обязательно заполнение </w:t>
      </w:r>
      <w:r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06EDC6EE" w:rsidR="007E722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  <w:r>
        <w:rPr>
          <w:rStyle w:val="ab"/>
          <w:color w:val="000000" w:themeColor="text1"/>
          <w:sz w:val="28"/>
          <w:szCs w:val="28"/>
        </w:rPr>
        <w:footnoteReference w:id="21"/>
      </w:r>
    </w:p>
    <w:p w14:paraId="6AF55EAB" w14:textId="1337300A" w:rsidR="00D22182" w:rsidRPr="00674025" w:rsidRDefault="00D22182" w:rsidP="007E722F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lastRenderedPageBreak/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  <w:r>
        <w:rPr>
          <w:rStyle w:val="ab"/>
          <w:color w:val="000000" w:themeColor="text1"/>
          <w:sz w:val="28"/>
          <w:szCs w:val="28"/>
        </w:rPr>
        <w:footnoteReference w:id="22"/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67402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67402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417EE686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10D5E0BD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</w:t>
      </w:r>
      <w:r w:rsidRPr="00674025">
        <w:rPr>
          <w:color w:val="000000" w:themeColor="text1"/>
          <w:sz w:val="28"/>
        </w:rPr>
        <w:lastRenderedPageBreak/>
        <w:t xml:space="preserve">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51DBD3D6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47142D74" w14:textId="73E6227F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674025">
        <w:rPr>
          <w:color w:val="000000" w:themeColor="text1"/>
          <w:sz w:val="28"/>
        </w:rPr>
        <w:t>в  электронной</w:t>
      </w:r>
      <w:proofErr w:type="gramEnd"/>
      <w:r w:rsidRPr="00674025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674025">
        <w:rPr>
          <w:color w:val="000000" w:themeColor="text1"/>
          <w:sz w:val="28"/>
        </w:rPr>
        <w:t>N(</w:t>
      </w:r>
      <w:proofErr w:type="gramEnd"/>
      <w:r w:rsidRPr="0067402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</w:t>
      </w:r>
      <w:r w:rsidR="007145F4" w:rsidRPr="00674025">
        <w:rPr>
          <w:color w:val="000000" w:themeColor="text1"/>
          <w:sz w:val="28"/>
          <w:szCs w:val="28"/>
        </w:rPr>
        <w:t>=</w:t>
      </w:r>
      <w:proofErr w:type="gramEnd"/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67402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67402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674025">
        <w:rPr>
          <w:color w:val="000000" w:themeColor="text1"/>
          <w:sz w:val="28"/>
          <w:szCs w:val="28"/>
        </w:rPr>
        <w:t>перитонеального</w:t>
      </w:r>
      <w:proofErr w:type="spellEnd"/>
      <w:r w:rsidRPr="0067402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67402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</w:t>
      </w:r>
      <w:r w:rsidRPr="00674025">
        <w:rPr>
          <w:color w:val="000000" w:themeColor="text1"/>
          <w:sz w:val="28"/>
          <w:szCs w:val="28"/>
        </w:rPr>
        <w:lastRenderedPageBreak/>
        <w:t xml:space="preserve">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8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8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674025">
        <w:rPr>
          <w:color w:val="000000" w:themeColor="text1"/>
          <w:sz w:val="28"/>
          <w:szCs w:val="28"/>
        </w:rPr>
        <w:t>IDSP»=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67084DE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9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9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0B434393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0" w:name="_Hlk114819187"/>
      <w:r w:rsidRPr="0067402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0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</w:t>
      </w:r>
      <w:r w:rsidRPr="00674025">
        <w:rPr>
          <w:color w:val="000000" w:themeColor="text1"/>
          <w:sz w:val="28"/>
          <w:szCs w:val="28"/>
        </w:rPr>
        <w:lastRenderedPageBreak/>
        <w:t>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6227A75F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67402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67402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6CC74727" w14:textId="154BD2C5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значение элемента 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консультирование.</w:t>
      </w:r>
    </w:p>
    <w:p w14:paraId="192A8F47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Значение элемента «P_CEL» должно соответствовать значению кодам целей в соответствии со справочником Т025 «Территориальный классификатор целей посещения»:</w:t>
      </w:r>
    </w:p>
    <w:p w14:paraId="10C7615A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lastRenderedPageBreak/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18E18990" w14:textId="0BDFCD77" w:rsidR="00D22182" w:rsidRPr="0035190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  <w:r w:rsidR="00DD7E53">
        <w:rPr>
          <w:rStyle w:val="ab"/>
          <w:color w:val="000000" w:themeColor="text1"/>
          <w:sz w:val="28"/>
        </w:rPr>
        <w:footnoteReference w:id="23"/>
      </w: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351905">
        <w:rPr>
          <w:color w:val="000000" w:themeColor="text1"/>
          <w:sz w:val="28"/>
        </w:rPr>
        <w:t>патолого-анатомических</w:t>
      </w:r>
      <w:proofErr w:type="gramEnd"/>
      <w:r w:rsidRPr="00351905">
        <w:rPr>
          <w:color w:val="000000" w:themeColor="text1"/>
          <w:sz w:val="28"/>
        </w:rPr>
        <w:t xml:space="preserve"> вскрытий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351905">
        <w:rPr>
          <w:color w:val="000000" w:themeColor="text1"/>
          <w:sz w:val="28"/>
        </w:rPr>
        <w:t>патолого-анатомическое</w:t>
      </w:r>
      <w:proofErr w:type="gramEnd"/>
      <w:r w:rsidRPr="00351905">
        <w:rPr>
          <w:color w:val="000000" w:themeColor="text1"/>
          <w:sz w:val="28"/>
        </w:rPr>
        <w:t xml:space="preserve">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15262064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 xml:space="preserve">» для </w:t>
      </w:r>
      <w:proofErr w:type="gramStart"/>
      <w:r w:rsidRPr="00351905">
        <w:rPr>
          <w:color w:val="000000" w:themeColor="text1"/>
          <w:sz w:val="28"/>
        </w:rPr>
        <w:t>патолого-анатомического</w:t>
      </w:r>
      <w:proofErr w:type="gramEnd"/>
      <w:r w:rsidRPr="00351905">
        <w:rPr>
          <w:color w:val="000000" w:themeColor="text1"/>
          <w:sz w:val="28"/>
        </w:rPr>
        <w:t xml:space="preserve"> вскрытия пациента.</w:t>
      </w:r>
      <w:r>
        <w:rPr>
          <w:rStyle w:val="ab"/>
          <w:color w:val="000000" w:themeColor="text1"/>
          <w:sz w:val="28"/>
        </w:rPr>
        <w:footnoteReference w:id="24"/>
      </w:r>
    </w:p>
    <w:p w14:paraId="72B54C5B" w14:textId="3F763006" w:rsidR="00DD7E53" w:rsidRPr="00351905" w:rsidRDefault="00DD7E53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>12</w:t>
      </w:r>
      <w:r>
        <w:rPr>
          <w:color w:val="000000" w:themeColor="text1"/>
          <w:sz w:val="28"/>
          <w:szCs w:val="28"/>
        </w:rPr>
        <w:t>.</w:t>
      </w:r>
      <w:r w:rsidRPr="00674025">
        <w:rPr>
          <w:color w:val="000000" w:themeColor="text1"/>
          <w:sz w:val="28"/>
          <w:szCs w:val="28"/>
        </w:rPr>
        <w:t xml:space="preserve"> Медицинская организация, в которой застрахованному лицу </w:t>
      </w:r>
      <w:r>
        <w:rPr>
          <w:color w:val="000000" w:themeColor="text1"/>
          <w:sz w:val="28"/>
          <w:szCs w:val="28"/>
        </w:rPr>
        <w:t xml:space="preserve">оказана медицинская помощь мобильными медицинскими бригадами в амбулаторных условиях в рамках посещений с иной целью и обращений по заболеванию, </w:t>
      </w:r>
      <w:r w:rsidRPr="00674025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  <w:r>
        <w:rPr>
          <w:rStyle w:val="ab"/>
          <w:color w:val="000000" w:themeColor="text1"/>
          <w:sz w:val="28"/>
          <w:szCs w:val="28"/>
        </w:rPr>
        <w:footnoteReference w:id="25"/>
      </w:r>
    </w:p>
    <w:p w14:paraId="264CD655" w14:textId="77777777" w:rsidR="00F80DBE" w:rsidRPr="00674025" w:rsidRDefault="00F80DBE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523AF6E9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36B3E71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 xml:space="preserve">» – коэффициент </w:t>
      </w:r>
      <w:proofErr w:type="spellStart"/>
      <w:r w:rsidRPr="00674025">
        <w:rPr>
          <w:color w:val="000000" w:themeColor="text1"/>
          <w:sz w:val="28"/>
        </w:rPr>
        <w:t>затратоемкости</w:t>
      </w:r>
      <w:proofErr w:type="spellEnd"/>
      <w:r w:rsidRPr="00674025">
        <w:rPr>
          <w:color w:val="000000" w:themeColor="text1"/>
          <w:sz w:val="28"/>
        </w:rPr>
        <w:t>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19F3D02C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79F1F6" w:rsidR="00180FE4" w:rsidRPr="00674025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 w:rsidR="00A8793C"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 w:rsidR="004D2B6D" w:rsidRPr="00674025">
        <w:rPr>
          <w:color w:val="000000" w:themeColor="text1"/>
          <w:sz w:val="28"/>
        </w:rPr>
        <w:t>2024</w:t>
      </w:r>
      <w:r w:rsidRPr="00674025">
        <w:rPr>
          <w:color w:val="000000" w:themeColor="text1"/>
          <w:sz w:val="28"/>
        </w:rPr>
        <w:t>;»</w:t>
      </w:r>
    </w:p>
    <w:p w14:paraId="612D44B6" w14:textId="77777777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674025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«4» – для </w:t>
      </w:r>
      <w:proofErr w:type="spellStart"/>
      <w:r w:rsidRPr="00674025">
        <w:rPr>
          <w:color w:val="000000" w:themeColor="text1"/>
          <w:sz w:val="28"/>
        </w:rPr>
        <w:t>сверхдлительной</w:t>
      </w:r>
      <w:proofErr w:type="spellEnd"/>
      <w:r w:rsidRPr="00674025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</w:t>
      </w:r>
      <w:r w:rsidRPr="00674025">
        <w:rPr>
          <w:color w:val="000000" w:themeColor="text1"/>
          <w:sz w:val="28"/>
        </w:rPr>
        <w:lastRenderedPageBreak/>
        <w:t xml:space="preserve">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1AFD99F4" w:rsidR="00180FE4" w:rsidRDefault="00180FE4" w:rsidP="00180FE4">
      <w:pPr>
        <w:ind w:firstLine="708"/>
        <w:jc w:val="both"/>
        <w:rPr>
          <w:strike/>
          <w:color w:val="000000" w:themeColor="text1"/>
          <w:sz w:val="28"/>
        </w:rPr>
      </w:pPr>
      <w:r w:rsidRPr="00DD7E53">
        <w:rPr>
          <w:strike/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гемодиафильтрации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 w:rsidRPr="00DD7E53">
        <w:rPr>
          <w:strike/>
          <w:color w:val="000000" w:themeColor="text1"/>
          <w:sz w:val="28"/>
          <w:szCs w:val="28"/>
        </w:rPr>
        <w:t xml:space="preserve">в сочетании со стоимостью услуг </w:t>
      </w:r>
      <w:r w:rsidRPr="00DD7E53">
        <w:rPr>
          <w:strike/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DD7E53">
        <w:rPr>
          <w:strike/>
          <w:color w:val="000000" w:themeColor="text1"/>
          <w:sz w:val="28"/>
          <w:szCs w:val="28"/>
        </w:rPr>
        <w:t>межучрежденческих</w:t>
      </w:r>
      <w:proofErr w:type="spellEnd"/>
      <w:r w:rsidRPr="00DD7E53">
        <w:rPr>
          <w:strike/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DD7E53">
        <w:rPr>
          <w:strike/>
          <w:color w:val="000000" w:themeColor="text1"/>
          <w:sz w:val="28"/>
        </w:rPr>
        <w:t>.</w:t>
      </w:r>
    </w:p>
    <w:p w14:paraId="511F04B9" w14:textId="77777777" w:rsidR="00DD7E53" w:rsidRPr="0097040D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гемодиализа и </w:t>
      </w:r>
      <w:proofErr w:type="spellStart"/>
      <w:r w:rsidRPr="0097040D">
        <w:rPr>
          <w:color w:val="000000" w:themeColor="text1"/>
          <w:sz w:val="28"/>
        </w:rPr>
        <w:t>гемодиафильтрации</w:t>
      </w:r>
      <w:proofErr w:type="spellEnd"/>
      <w:r w:rsidRPr="0097040D">
        <w:rPr>
          <w:color w:val="000000" w:themeColor="text1"/>
          <w:sz w:val="28"/>
        </w:rPr>
        <w:t xml:space="preserve">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</w:t>
      </w:r>
      <w:r w:rsidRPr="0097040D">
        <w:rPr>
          <w:color w:val="000000" w:themeColor="text1"/>
          <w:sz w:val="28"/>
        </w:rPr>
        <w:lastRenderedPageBreak/>
        <w:t xml:space="preserve">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563C628F" w:rsidR="00DD7E53" w:rsidRPr="00DD7E53" w:rsidRDefault="00DD7E53" w:rsidP="00DD7E53">
      <w:pPr>
        <w:ind w:firstLine="708"/>
        <w:jc w:val="both"/>
        <w:rPr>
          <w:strike/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  <w:r>
        <w:rPr>
          <w:rStyle w:val="ab"/>
          <w:color w:val="000000" w:themeColor="text1"/>
          <w:sz w:val="28"/>
        </w:rPr>
        <w:footnoteReference w:id="26"/>
      </w:r>
    </w:p>
    <w:p w14:paraId="19622349" w14:textId="241D0365" w:rsidR="000F567B" w:rsidRPr="0067402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391FF16E" w:rsidR="00C13744" w:rsidRPr="00674025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11" w:name="_Toc479070977"/>
      <w:r w:rsidRPr="00674025">
        <w:rPr>
          <w:b/>
          <w:color w:val="000000" w:themeColor="text1"/>
          <w:sz w:val="28"/>
          <w:szCs w:val="28"/>
        </w:rPr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Pr="00674025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в обязательном порядке заполняется</w:t>
      </w:r>
      <w:r w:rsidRPr="00674025">
        <w:rPr>
          <w:color w:val="000000" w:themeColor="text1"/>
          <w:sz w:val="28"/>
          <w:szCs w:val="28"/>
        </w:rPr>
        <w:t xml:space="preserve"> элемент</w:t>
      </w:r>
      <w:bookmarkEnd w:id="11"/>
      <w:r w:rsidR="00084890" w:rsidRPr="00674025">
        <w:rPr>
          <w:color w:val="000000" w:themeColor="text1"/>
          <w:sz w:val="28"/>
        </w:rPr>
        <w:t xml:space="preserve"> </w:t>
      </w:r>
      <w:r w:rsidR="00C13744" w:rsidRPr="00674025">
        <w:rPr>
          <w:color w:val="000000" w:themeColor="text1"/>
          <w:sz w:val="28"/>
        </w:rPr>
        <w:t>«</w:t>
      </w:r>
      <w:r w:rsidR="00C13744" w:rsidRPr="00674025">
        <w:rPr>
          <w:color w:val="000000" w:themeColor="text1"/>
          <w:sz w:val="28"/>
          <w:lang w:val="en-US"/>
        </w:rPr>
        <w:t>CODE</w:t>
      </w:r>
      <w:r w:rsidR="00C13744" w:rsidRPr="00674025">
        <w:rPr>
          <w:color w:val="000000" w:themeColor="text1"/>
          <w:sz w:val="28"/>
        </w:rPr>
        <w:t>_</w:t>
      </w:r>
      <w:r w:rsidR="00C13744" w:rsidRPr="00674025">
        <w:rPr>
          <w:color w:val="000000" w:themeColor="text1"/>
          <w:sz w:val="28"/>
          <w:lang w:val="en-US"/>
        </w:rPr>
        <w:t>MES</w:t>
      </w:r>
      <w:r w:rsidR="00C13744" w:rsidRPr="00674025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674025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674025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674025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674025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674025">
        <w:rPr>
          <w:color w:val="000000" w:themeColor="text1"/>
          <w:sz w:val="28"/>
        </w:rPr>
        <w:t>тромболитической</w:t>
      </w:r>
      <w:proofErr w:type="spellEnd"/>
      <w:r w:rsidRPr="00674025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674025">
        <w:rPr>
          <w:color w:val="000000" w:themeColor="text1"/>
          <w:sz w:val="28"/>
          <w:szCs w:val="28"/>
        </w:rPr>
        <w:t>K»=</w:t>
      </w:r>
      <w:proofErr w:type="gramEnd"/>
      <w:r w:rsidRPr="0067402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</w:t>
      </w:r>
      <w:r w:rsidRPr="00674025">
        <w:rPr>
          <w:color w:val="000000" w:themeColor="text1"/>
          <w:sz w:val="28"/>
        </w:rPr>
        <w:lastRenderedPageBreak/>
        <w:t xml:space="preserve">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674025">
        <w:rPr>
          <w:color w:val="000000" w:themeColor="text1"/>
          <w:sz w:val="28"/>
        </w:rPr>
        <w:t>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001»–«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027»,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032»–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067»,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070»–«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099», 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102»–«</w:t>
      </w:r>
      <w:proofErr w:type="spellStart"/>
      <w:r w:rsidRPr="00674025">
        <w:rPr>
          <w:color w:val="000000" w:themeColor="text1"/>
          <w:sz w:val="28"/>
          <w:lang w:val="en-US"/>
        </w:rPr>
        <w:t>gsh</w:t>
      </w:r>
      <w:proofErr w:type="spellEnd"/>
      <w:r w:rsidRPr="0067402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>» и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674025">
        <w:rPr>
          <w:color w:val="000000" w:themeColor="text1"/>
          <w:sz w:val="28"/>
          <w:szCs w:val="28"/>
        </w:rPr>
        <w:t>Группировщик</w:t>
      </w:r>
      <w:proofErr w:type="spellEnd"/>
      <w:r w:rsidRPr="0067402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537430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674025">
        <w:rPr>
          <w:color w:val="000000" w:themeColor="text1"/>
          <w:sz w:val="28"/>
          <w:szCs w:val="28"/>
        </w:rPr>
        <w:t>IDSP»=</w:t>
      </w:r>
      <w:proofErr w:type="gramEnd"/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E7F88A9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4D2B6D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2024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67402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674025">
        <w:rPr>
          <w:color w:val="000000" w:themeColor="text1"/>
          <w:sz w:val="28"/>
          <w:szCs w:val="28"/>
        </w:rPr>
        <w:t xml:space="preserve">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proofErr w:type="gramStart"/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674025">
        <w:rPr>
          <w:color w:val="000000" w:themeColor="text1"/>
          <w:sz w:val="28"/>
          <w:szCs w:val="28"/>
        </w:rPr>
        <w:t>IDSP»=</w:t>
      </w:r>
      <w:proofErr w:type="gramEnd"/>
      <w:r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674025">
        <w:rPr>
          <w:color w:val="000000" w:themeColor="text1"/>
          <w:sz w:val="28"/>
          <w:szCs w:val="28"/>
        </w:rPr>
        <w:t>Кподуш</w:t>
      </w:r>
      <w:proofErr w:type="spellEnd"/>
      <w:r w:rsidRPr="0067402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proofErr w:type="gramEnd"/>
      <w:r w:rsidRPr="00674025">
        <w:rPr>
          <w:color w:val="000000" w:themeColor="text1"/>
          <w:sz w:val="28"/>
          <w:szCs w:val="28"/>
        </w:rPr>
        <w:t>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674025">
        <w:rPr>
          <w:color w:val="000000" w:themeColor="text1"/>
          <w:sz w:val="28"/>
          <w:szCs w:val="28"/>
        </w:rPr>
        <w:t>Кфп</w:t>
      </w:r>
      <w:proofErr w:type="spellEnd"/>
      <w:r w:rsidRPr="00674025">
        <w:rPr>
          <w:color w:val="000000" w:themeColor="text1"/>
          <w:sz w:val="28"/>
          <w:szCs w:val="28"/>
        </w:rPr>
        <w:t>/</w:t>
      </w:r>
      <w:proofErr w:type="spellStart"/>
      <w:r w:rsidRPr="00674025">
        <w:rPr>
          <w:color w:val="000000" w:themeColor="text1"/>
          <w:sz w:val="28"/>
          <w:szCs w:val="28"/>
        </w:rPr>
        <w:t>фап</w:t>
      </w:r>
      <w:proofErr w:type="spellEnd"/>
      <w:r w:rsidRPr="0067402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548ACC33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4D2B6D" w:rsidRPr="00674025">
        <w:rPr>
          <w:color w:val="000000" w:themeColor="text1"/>
          <w:sz w:val="28"/>
          <w:szCs w:val="28"/>
        </w:rPr>
        <w:t>2024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proofErr w:type="gramStart"/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</w:t>
      </w:r>
      <w:proofErr w:type="gramEnd"/>
      <w:r w:rsidR="00AF2934" w:rsidRPr="00674025">
        <w:rPr>
          <w:color w:val="000000" w:themeColor="text1"/>
          <w:sz w:val="28"/>
          <w:szCs w:val="28"/>
        </w:rPr>
        <w:t>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proofErr w:type="gramStart"/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proofErr w:type="gramEnd"/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proofErr w:type="gramStart"/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</w:t>
      </w:r>
      <w:proofErr w:type="gramEnd"/>
      <w:r w:rsidR="0073601E" w:rsidRPr="00674025">
        <w:rPr>
          <w:color w:val="000000" w:themeColor="text1"/>
          <w:sz w:val="28"/>
          <w:szCs w:val="28"/>
        </w:rPr>
        <w:t xml:space="preserve">3, 4, 5, 6, сведения об услуге </w:t>
      </w:r>
      <w:r w:rsidR="0073601E" w:rsidRPr="00674025">
        <w:rPr>
          <w:color w:val="000000" w:themeColor="text1"/>
          <w:sz w:val="28"/>
          <w:szCs w:val="28"/>
        </w:rPr>
        <w:lastRenderedPageBreak/>
        <w:t>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proofErr w:type="gramStart"/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</w:t>
      </w:r>
      <w:proofErr w:type="gramEnd"/>
      <w:r w:rsidR="000E1655" w:rsidRPr="00674025">
        <w:rPr>
          <w:color w:val="000000" w:themeColor="text1"/>
          <w:sz w:val="28"/>
          <w:szCs w:val="28"/>
        </w:rPr>
        <w:t>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0F567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2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12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F724540" w14:textId="1E181C10" w:rsidR="00DD7E53" w:rsidRPr="00674025" w:rsidRDefault="00DD7E53" w:rsidP="000F567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10.2. 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>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  <w:r>
        <w:rPr>
          <w:rStyle w:val="ab"/>
          <w:color w:val="000000" w:themeColor="text1"/>
          <w:sz w:val="28"/>
        </w:rPr>
        <w:footnoteReference w:id="27"/>
      </w:r>
    </w:p>
    <w:p w14:paraId="7EA27EB0" w14:textId="77777777" w:rsidR="00620ACA" w:rsidRPr="00674025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4FC10565" w:rsidR="00F815E6" w:rsidRPr="00674025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11</w:t>
      </w:r>
      <w:r w:rsidR="00F815E6" w:rsidRPr="00674025">
        <w:rPr>
          <w:color w:val="000000" w:themeColor="text1"/>
          <w:sz w:val="28"/>
          <w:szCs w:val="28"/>
        </w:rPr>
        <w:t>. 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01.01.2024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72DDE473" w14:textId="7254F38D" w:rsidR="00BF585B" w:rsidRDefault="00BF585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A570A2" w:rsidRPr="00A570A2">
        <w:t xml:space="preserve">Правил 4-2024 </w:t>
      </w:r>
      <w:r>
        <w:t>от 30.05.2024 г. с 01.06.2024 г.</w:t>
      </w:r>
    </w:p>
  </w:footnote>
  <w:footnote w:id="2">
    <w:p w14:paraId="445A9447" w14:textId="422E8185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 w:rsidRPr="00BF585B">
        <w:t xml:space="preserve">  В редакции </w:t>
      </w:r>
      <w:r w:rsidR="00A570A2" w:rsidRPr="00A570A2">
        <w:t xml:space="preserve">Правил 4-2024 </w:t>
      </w:r>
      <w:r w:rsidRPr="00BF585B">
        <w:t>от 30.05.2024 г. с 01.06.2024 г.</w:t>
      </w:r>
    </w:p>
  </w:footnote>
  <w:footnote w:id="3">
    <w:p w14:paraId="2D35766B" w14:textId="5B90C40D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4</w:t>
      </w:r>
      <w:r w:rsidR="00A570A2">
        <w:t>-</w:t>
      </w:r>
      <w:r>
        <w:t>2024 от 30.05.2024 г. с 01.06.2024 г.</w:t>
      </w:r>
    </w:p>
  </w:footnote>
  <w:footnote w:id="4">
    <w:p w14:paraId="3CD3DA74" w14:textId="27A07284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4</w:t>
      </w:r>
      <w:r w:rsidR="00A570A2">
        <w:t>-</w:t>
      </w:r>
      <w:r>
        <w:t>2024 от 30.05.2024 г. с 01.06.2024 г.</w:t>
      </w:r>
    </w:p>
  </w:footnote>
  <w:footnote w:id="5">
    <w:p w14:paraId="58DF42DE" w14:textId="68A86F1D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4</w:t>
      </w:r>
      <w:r w:rsidR="00A570A2">
        <w:t>-</w:t>
      </w:r>
      <w:r>
        <w:t>2024 от 30.05.2024 г. с 01.06.2024 г.</w:t>
      </w:r>
    </w:p>
  </w:footnote>
  <w:footnote w:id="6">
    <w:p w14:paraId="6944AE5D" w14:textId="0281085F" w:rsidR="00A570A2" w:rsidRDefault="00A570A2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4</w:t>
      </w:r>
      <w:r>
        <w:t>-</w:t>
      </w:r>
      <w:r>
        <w:t>2024 от 30.05.2024 г. с 01.06.2024 г.</w:t>
      </w:r>
    </w:p>
  </w:footnote>
  <w:footnote w:id="7">
    <w:p w14:paraId="22652D4B" w14:textId="222B3A90" w:rsidR="00DA3954" w:rsidRPr="007E722F" w:rsidRDefault="00DA3954">
      <w:pPr>
        <w:pStyle w:val="a9"/>
      </w:pPr>
      <w:r>
        <w:rPr>
          <w:rStyle w:val="ab"/>
        </w:rPr>
        <w:footnoteRef/>
      </w:r>
      <w:r>
        <w:t xml:space="preserve"> </w:t>
      </w:r>
      <w:r w:rsidR="007E722F" w:rsidRPr="007E722F">
        <w:rPr>
          <w:rStyle w:val="ab"/>
          <w:vertAlign w:val="baseline"/>
        </w:rPr>
        <w:t xml:space="preserve">В редакции </w:t>
      </w:r>
      <w:r w:rsidR="007E722F">
        <w:rPr>
          <w:rStyle w:val="ab"/>
          <w:vertAlign w:val="baseline"/>
        </w:rPr>
        <w:t>П</w:t>
      </w:r>
      <w:r w:rsidR="007E722F">
        <w:t>равил</w:t>
      </w:r>
      <w:r w:rsidR="007E722F" w:rsidRPr="007E722F">
        <w:rPr>
          <w:rStyle w:val="ab"/>
          <w:vertAlign w:val="baseline"/>
        </w:rPr>
        <w:t xml:space="preserve"> </w:t>
      </w:r>
      <w:r w:rsidR="007E722F" w:rsidRPr="007E722F">
        <w:t>3</w:t>
      </w:r>
      <w:r w:rsidR="007E722F" w:rsidRPr="007E722F">
        <w:rPr>
          <w:rStyle w:val="ab"/>
          <w:vertAlign w:val="baseline"/>
        </w:rPr>
        <w:t>-2024 от 04.0</w:t>
      </w:r>
      <w:r w:rsidR="007E722F" w:rsidRPr="007E722F">
        <w:t>4</w:t>
      </w:r>
      <w:r w:rsidR="007E722F" w:rsidRPr="007E722F">
        <w:rPr>
          <w:rStyle w:val="ab"/>
          <w:vertAlign w:val="baseline"/>
        </w:rPr>
        <w:t>.2024 г. с 01.0</w:t>
      </w:r>
      <w:r w:rsidR="007E722F">
        <w:t>4</w:t>
      </w:r>
      <w:r w:rsidR="007E722F" w:rsidRPr="007E722F">
        <w:rPr>
          <w:rStyle w:val="ab"/>
          <w:vertAlign w:val="baseline"/>
        </w:rPr>
        <w:t>.2024 г.</w:t>
      </w:r>
    </w:p>
  </w:footnote>
  <w:footnote w:id="8">
    <w:p w14:paraId="19E09FBF" w14:textId="440EF40D" w:rsidR="00A570A2" w:rsidRDefault="00A570A2">
      <w:pPr>
        <w:pStyle w:val="a9"/>
      </w:pPr>
      <w:r>
        <w:rPr>
          <w:rStyle w:val="ab"/>
        </w:rPr>
        <w:footnoteRef/>
      </w:r>
      <w:r>
        <w:t xml:space="preserve"> </w:t>
      </w:r>
      <w:r w:rsidRPr="00A570A2">
        <w:t>В редакции Правил 4</w:t>
      </w:r>
      <w:r>
        <w:t>-</w:t>
      </w:r>
      <w:r w:rsidRPr="00A570A2">
        <w:t>2024 от 30.05.2024 г. с 01.06.2024 г.</w:t>
      </w:r>
    </w:p>
  </w:footnote>
  <w:footnote w:id="9">
    <w:p w14:paraId="12F64E5C" w14:textId="4AEBB1F6" w:rsidR="00A570A2" w:rsidRDefault="00A570A2">
      <w:pPr>
        <w:pStyle w:val="a9"/>
      </w:pPr>
      <w:r>
        <w:rPr>
          <w:rStyle w:val="ab"/>
        </w:rPr>
        <w:footnoteRef/>
      </w:r>
      <w:r>
        <w:t xml:space="preserve"> </w:t>
      </w:r>
      <w:r w:rsidRPr="00A570A2">
        <w:t>В редакции Правил 4-2024 от 30.05.2024 г. с 01.0</w:t>
      </w:r>
      <w:r>
        <w:t>1</w:t>
      </w:r>
      <w:r w:rsidRPr="00A570A2">
        <w:t>.2024 г.</w:t>
      </w:r>
    </w:p>
  </w:footnote>
  <w:footnote w:id="10">
    <w:p w14:paraId="4F7327BF" w14:textId="65BC29E8" w:rsidR="00C426C4" w:rsidRDefault="00C426C4">
      <w:pPr>
        <w:pStyle w:val="a9"/>
      </w:pPr>
      <w:r>
        <w:rPr>
          <w:rStyle w:val="ab"/>
        </w:rPr>
        <w:footnoteRef/>
      </w:r>
      <w:r>
        <w:t xml:space="preserve"> </w:t>
      </w:r>
      <w:r w:rsidRPr="00C426C4">
        <w:t>В редакции Правил № 4/2024 от 30.05.2024 г. с 01.0</w:t>
      </w:r>
      <w:r>
        <w:t>1</w:t>
      </w:r>
      <w:r w:rsidRPr="00C426C4">
        <w:t>.2024 г.</w:t>
      </w:r>
    </w:p>
  </w:footnote>
  <w:footnote w:id="11">
    <w:p w14:paraId="472F2696" w14:textId="6F054987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№ 4/2024 от 30.05.2024 г. с 01.06.2024 г.</w:t>
      </w:r>
    </w:p>
  </w:footnote>
  <w:footnote w:id="12">
    <w:p w14:paraId="357AE38B" w14:textId="692896C8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№ 4/2024 от 30.05.2024 г. с 01.06.2024 г.</w:t>
      </w:r>
    </w:p>
  </w:footnote>
  <w:footnote w:id="13">
    <w:p w14:paraId="57A3AF7F" w14:textId="29E05EA9" w:rsidR="00BF585B" w:rsidRDefault="00BF585B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Правил № 4/2024 от 30.05.2024 г. с 01.06.2024 г.</w:t>
      </w:r>
    </w:p>
  </w:footnote>
  <w:footnote w:id="14">
    <w:p w14:paraId="45C14D0C" w14:textId="4818EBB4" w:rsidR="00C21EE7" w:rsidRDefault="00C21EE7">
      <w:pPr>
        <w:pStyle w:val="a9"/>
      </w:pPr>
      <w:r>
        <w:rPr>
          <w:rStyle w:val="ab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15">
    <w:p w14:paraId="02A07654" w14:textId="50D0BD74" w:rsidR="00D22182" w:rsidRDefault="00D22182">
      <w:pPr>
        <w:pStyle w:val="a9"/>
      </w:pPr>
      <w:r>
        <w:rPr>
          <w:rStyle w:val="ab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16">
    <w:p w14:paraId="71ED2166" w14:textId="3E968797" w:rsidR="00C21EE7" w:rsidRDefault="00C21EE7">
      <w:pPr>
        <w:pStyle w:val="a9"/>
      </w:pPr>
      <w:r>
        <w:rPr>
          <w:rStyle w:val="ab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17">
    <w:p w14:paraId="4A1D542D" w14:textId="17184F12" w:rsidR="00C21EE7" w:rsidRDefault="00C21EE7">
      <w:pPr>
        <w:pStyle w:val="a9"/>
      </w:pPr>
      <w:r>
        <w:rPr>
          <w:rStyle w:val="ab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18">
    <w:p w14:paraId="52273719" w14:textId="207C8C24" w:rsidR="00C21EE7" w:rsidRDefault="00C21EE7">
      <w:pPr>
        <w:pStyle w:val="a9"/>
      </w:pPr>
      <w:r>
        <w:rPr>
          <w:rStyle w:val="ab"/>
        </w:rPr>
        <w:footnoteRef/>
      </w:r>
      <w:r>
        <w:t xml:space="preserve"> </w:t>
      </w:r>
      <w:r w:rsidRPr="00C21EE7">
        <w:t>В редакции Правил № 4/2024 от 30.05.2024 г. с 01.06.2024 г.</w:t>
      </w:r>
    </w:p>
  </w:footnote>
  <w:footnote w:id="19">
    <w:p w14:paraId="69AD2236" w14:textId="319E8886" w:rsidR="00D22182" w:rsidRDefault="00D22182">
      <w:pPr>
        <w:pStyle w:val="a9"/>
      </w:pPr>
      <w:r>
        <w:rPr>
          <w:rStyle w:val="ab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20">
    <w:p w14:paraId="6757C4C4" w14:textId="1E5A60D3" w:rsidR="00D22182" w:rsidRDefault="00D22182">
      <w:pPr>
        <w:pStyle w:val="a9"/>
      </w:pPr>
      <w:r>
        <w:rPr>
          <w:rStyle w:val="ab"/>
        </w:rPr>
        <w:footnoteRef/>
      </w:r>
      <w:r>
        <w:t xml:space="preserve"> </w:t>
      </w:r>
      <w:r w:rsidRPr="00D22182">
        <w:t>В редакции Правил № 4/2024 от 30.05.2024 г. с 01.06.2024 г.</w:t>
      </w:r>
    </w:p>
  </w:footnote>
  <w:footnote w:id="21">
    <w:p w14:paraId="62BFB19C" w14:textId="28761A99" w:rsidR="007E722F" w:rsidRPr="007E722F" w:rsidRDefault="007E722F">
      <w:pPr>
        <w:pStyle w:val="a9"/>
      </w:pPr>
      <w:r>
        <w:rPr>
          <w:rStyle w:val="ab"/>
        </w:rPr>
        <w:footnoteRef/>
      </w:r>
      <w:r>
        <w:t xml:space="preserve"> </w:t>
      </w:r>
      <w:r w:rsidRPr="007E722F">
        <w:rPr>
          <w:rStyle w:val="ab"/>
          <w:vertAlign w:val="baseline"/>
        </w:rPr>
        <w:t xml:space="preserve">В редакции </w:t>
      </w:r>
      <w:r>
        <w:rPr>
          <w:rStyle w:val="ab"/>
          <w:vertAlign w:val="baseline"/>
        </w:rPr>
        <w:t>П</w:t>
      </w:r>
      <w:r>
        <w:t>равил</w:t>
      </w:r>
      <w:r w:rsidRPr="007E722F">
        <w:rPr>
          <w:rStyle w:val="ab"/>
          <w:vertAlign w:val="baseline"/>
        </w:rPr>
        <w:t xml:space="preserve"> </w:t>
      </w:r>
      <w:r w:rsidRPr="007E722F">
        <w:t>3</w:t>
      </w:r>
      <w:r w:rsidRPr="007E722F">
        <w:rPr>
          <w:rStyle w:val="ab"/>
          <w:vertAlign w:val="baseline"/>
        </w:rPr>
        <w:t>-2024 от 04.0</w:t>
      </w:r>
      <w:r w:rsidRPr="007E722F">
        <w:t>4</w:t>
      </w:r>
      <w:r w:rsidRPr="007E722F">
        <w:rPr>
          <w:rStyle w:val="ab"/>
          <w:vertAlign w:val="baseline"/>
        </w:rPr>
        <w:t>.2024 г. с 01.0</w:t>
      </w:r>
      <w:r>
        <w:t>4</w:t>
      </w:r>
      <w:r w:rsidRPr="007E722F">
        <w:rPr>
          <w:rStyle w:val="ab"/>
          <w:vertAlign w:val="baseline"/>
        </w:rPr>
        <w:t>.2024 г.</w:t>
      </w:r>
    </w:p>
  </w:footnote>
  <w:footnote w:id="22">
    <w:p w14:paraId="473A988B" w14:textId="3178D9D6" w:rsidR="00D22182" w:rsidRDefault="00D22182">
      <w:pPr>
        <w:pStyle w:val="a9"/>
      </w:pPr>
      <w:r>
        <w:rPr>
          <w:rStyle w:val="ab"/>
        </w:rPr>
        <w:footnoteRef/>
      </w:r>
      <w:r>
        <w:t xml:space="preserve"> </w:t>
      </w:r>
      <w:r w:rsidRPr="00D22182">
        <w:t xml:space="preserve">В редакции Правил </w:t>
      </w:r>
      <w:r>
        <w:t>4</w:t>
      </w:r>
      <w:r w:rsidRPr="00D22182">
        <w:t xml:space="preserve">-2024 от </w:t>
      </w:r>
      <w:r>
        <w:t>30</w:t>
      </w:r>
      <w:r w:rsidRPr="00D22182">
        <w:t>.0</w:t>
      </w:r>
      <w:r>
        <w:t>5</w:t>
      </w:r>
      <w:r w:rsidRPr="00D22182">
        <w:t>.2024 г. с 01.0</w:t>
      </w:r>
      <w:r>
        <w:t>6</w:t>
      </w:r>
      <w:r w:rsidRPr="00D22182">
        <w:t>.2024 г.</w:t>
      </w:r>
    </w:p>
  </w:footnote>
  <w:footnote w:id="23">
    <w:p w14:paraId="23DA011C" w14:textId="2998568A" w:rsidR="00DD7E53" w:rsidRDefault="00DD7E53">
      <w:pPr>
        <w:pStyle w:val="a9"/>
      </w:pPr>
      <w:r>
        <w:rPr>
          <w:rStyle w:val="ab"/>
        </w:rPr>
        <w:footnoteRef/>
      </w:r>
      <w:r>
        <w:t xml:space="preserve"> </w:t>
      </w:r>
      <w:r w:rsidRPr="00DD7E53">
        <w:t xml:space="preserve">В редакции Правил </w:t>
      </w:r>
      <w:r>
        <w:t>4</w:t>
      </w:r>
      <w:r w:rsidRPr="00DD7E53">
        <w:t xml:space="preserve">-2024 от </w:t>
      </w:r>
      <w:r>
        <w:t>30</w:t>
      </w:r>
      <w:r w:rsidRPr="00DD7E53">
        <w:t>.0</w:t>
      </w:r>
      <w:r>
        <w:t>5</w:t>
      </w:r>
      <w:r w:rsidRPr="00DD7E53">
        <w:t>.2024 г. с 01.0</w:t>
      </w:r>
      <w:r>
        <w:t>6</w:t>
      </w:r>
      <w:r w:rsidRPr="00DD7E53">
        <w:t>.2024 г.</w:t>
      </w:r>
    </w:p>
  </w:footnote>
  <w:footnote w:id="24">
    <w:p w14:paraId="3C500D65" w14:textId="700A6339" w:rsidR="00F80DBE" w:rsidRDefault="00F80DBE">
      <w:pPr>
        <w:pStyle w:val="a9"/>
      </w:pPr>
      <w:r>
        <w:rPr>
          <w:rStyle w:val="ab"/>
        </w:rPr>
        <w:footnoteRef/>
      </w:r>
      <w:r>
        <w:t xml:space="preserve"> В редакции Правил 2-2024 от 06.03.2024 г. с 01.03.2024 г.</w:t>
      </w:r>
    </w:p>
  </w:footnote>
  <w:footnote w:id="25">
    <w:p w14:paraId="341D248E" w14:textId="12021AAD" w:rsidR="00DD7E53" w:rsidRDefault="00DD7E53">
      <w:pPr>
        <w:pStyle w:val="a9"/>
      </w:pPr>
      <w:r>
        <w:rPr>
          <w:rStyle w:val="ab"/>
        </w:rPr>
        <w:footnoteRef/>
      </w:r>
      <w:r>
        <w:t xml:space="preserve"> </w:t>
      </w:r>
      <w:r w:rsidRPr="00DD7E53">
        <w:t>В редакции Правил 4-2024 от 30.05.2024 г. с 01.06.2024 г.</w:t>
      </w:r>
    </w:p>
  </w:footnote>
  <w:footnote w:id="26">
    <w:p w14:paraId="659DE0BD" w14:textId="3A9D0E49" w:rsidR="00DD7E53" w:rsidRDefault="00DD7E53">
      <w:pPr>
        <w:pStyle w:val="a9"/>
      </w:pPr>
      <w:r>
        <w:rPr>
          <w:rStyle w:val="ab"/>
        </w:rPr>
        <w:footnoteRef/>
      </w:r>
      <w:r>
        <w:t xml:space="preserve"> </w:t>
      </w:r>
      <w:r w:rsidRPr="00DD7E53">
        <w:t>В редакции Правил 4-2024 от 30.05.2024 г. с 01.06.2024 г.</w:t>
      </w:r>
    </w:p>
  </w:footnote>
  <w:footnote w:id="27">
    <w:p w14:paraId="1DF94717" w14:textId="06178069" w:rsidR="00DD7E53" w:rsidRDefault="00DD7E53">
      <w:pPr>
        <w:pStyle w:val="a9"/>
      </w:pPr>
      <w:r>
        <w:rPr>
          <w:rStyle w:val="ab"/>
        </w:rPr>
        <w:footnoteRef/>
      </w:r>
      <w:r>
        <w:t xml:space="preserve"> </w:t>
      </w:r>
      <w:r w:rsidRPr="00DD7E53">
        <w:t>В редакции Правил 4-2024 от 30.05.2024 г. с 01.06.2024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10800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201568"/>
    <w:rsid w:val="0021033A"/>
    <w:rsid w:val="00214ED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A4936"/>
    <w:rsid w:val="004B4BE7"/>
    <w:rsid w:val="004C0287"/>
    <w:rsid w:val="004C11BD"/>
    <w:rsid w:val="004D27EB"/>
    <w:rsid w:val="004D2B6D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902FD"/>
    <w:rsid w:val="00791F3D"/>
    <w:rsid w:val="00797AC0"/>
    <w:rsid w:val="007C43AD"/>
    <w:rsid w:val="007E722F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27CF"/>
    <w:rsid w:val="00AE776F"/>
    <w:rsid w:val="00AF2934"/>
    <w:rsid w:val="00AF352C"/>
    <w:rsid w:val="00AF4E7D"/>
    <w:rsid w:val="00B12C40"/>
    <w:rsid w:val="00B20186"/>
    <w:rsid w:val="00B27F02"/>
    <w:rsid w:val="00B31E5C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36567"/>
    <w:rsid w:val="00C426C4"/>
    <w:rsid w:val="00C46F0F"/>
    <w:rsid w:val="00C5670B"/>
    <w:rsid w:val="00C610B0"/>
    <w:rsid w:val="00C624CE"/>
    <w:rsid w:val="00C627CC"/>
    <w:rsid w:val="00C74360"/>
    <w:rsid w:val="00C752E4"/>
    <w:rsid w:val="00C95C5C"/>
    <w:rsid w:val="00CA13B6"/>
    <w:rsid w:val="00CA2C1A"/>
    <w:rsid w:val="00CA54E9"/>
    <w:rsid w:val="00CB09EB"/>
    <w:rsid w:val="00CB107F"/>
    <w:rsid w:val="00CB57DC"/>
    <w:rsid w:val="00D0553F"/>
    <w:rsid w:val="00D22182"/>
    <w:rsid w:val="00D22CB6"/>
    <w:rsid w:val="00D33D54"/>
    <w:rsid w:val="00D4603E"/>
    <w:rsid w:val="00D56137"/>
    <w:rsid w:val="00D62D00"/>
    <w:rsid w:val="00D65FAF"/>
    <w:rsid w:val="00D9056F"/>
    <w:rsid w:val="00DA3954"/>
    <w:rsid w:val="00DC0880"/>
    <w:rsid w:val="00DC09FF"/>
    <w:rsid w:val="00DC2DB6"/>
    <w:rsid w:val="00DC6351"/>
    <w:rsid w:val="00DD64B7"/>
    <w:rsid w:val="00DD7197"/>
    <w:rsid w:val="00DD7E53"/>
    <w:rsid w:val="00E10158"/>
    <w:rsid w:val="00E206ED"/>
    <w:rsid w:val="00E25AA1"/>
    <w:rsid w:val="00E33BD8"/>
    <w:rsid w:val="00E34932"/>
    <w:rsid w:val="00E4096D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37</Pages>
  <Words>13790</Words>
  <Characters>78605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22</cp:revision>
  <cp:lastPrinted>2019-02-03T21:39:00Z</cp:lastPrinted>
  <dcterms:created xsi:type="dcterms:W3CDTF">2024-01-24T03:00:00Z</dcterms:created>
  <dcterms:modified xsi:type="dcterms:W3CDTF">2024-06-03T03:44:00Z</dcterms:modified>
</cp:coreProperties>
</file>